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55F1B">
      <w:pPr>
        <w:pStyle w:val="16"/>
        <w:widowControl/>
        <w:spacing w:before="0" w:beforeAutospacing="0" w:after="0" w:afterAutospacing="0" w:line="360" w:lineRule="auto"/>
        <w:rPr>
          <w:rFonts w:ascii="Times New Roman" w:hAnsi="Times New Roman" w:eastAsia="宋体"/>
          <w:b/>
          <w:bCs/>
          <w:kern w:val="2"/>
          <w:sz w:val="32"/>
          <w:szCs w:val="32"/>
        </w:rPr>
      </w:pPr>
      <w:r>
        <w:rPr>
          <w:rFonts w:ascii="Times New Roman" w:hAnsi="Times New Roman" w:eastAsia="宋体"/>
          <w:b/>
          <w:bCs/>
          <w:kern w:val="2"/>
          <w:sz w:val="32"/>
          <w:szCs w:val="32"/>
        </w:rPr>
        <w:t>2025年度江苏省</w:t>
      </w:r>
      <w:r>
        <w:rPr>
          <w:rFonts w:hint="eastAsia" w:ascii="Times New Roman" w:hAnsi="Times New Roman" w:eastAsia="宋体"/>
          <w:b/>
          <w:bCs/>
          <w:kern w:val="2"/>
          <w:sz w:val="32"/>
          <w:szCs w:val="32"/>
        </w:rPr>
        <w:t>自动化学会</w:t>
      </w:r>
      <w:r>
        <w:rPr>
          <w:rFonts w:ascii="Times New Roman" w:hAnsi="Times New Roman" w:eastAsia="宋体"/>
          <w:b/>
          <w:bCs/>
          <w:kern w:val="2"/>
          <w:sz w:val="32"/>
          <w:szCs w:val="32"/>
        </w:rPr>
        <w:t>科学技术奖项目的公示材料</w:t>
      </w:r>
    </w:p>
    <w:p w14:paraId="77600385">
      <w:pPr>
        <w:pStyle w:val="16"/>
        <w:widowControl/>
        <w:spacing w:before="0" w:beforeAutospacing="0" w:after="0" w:afterAutospacing="0" w:line="360" w:lineRule="auto"/>
        <w:ind w:firstLine="643" w:firstLineChars="200"/>
        <w:rPr>
          <w:rFonts w:ascii="Times New Roman" w:hAnsi="Times New Roman" w:eastAsia="宋体"/>
          <w:b/>
          <w:bCs/>
          <w:kern w:val="2"/>
          <w:sz w:val="32"/>
          <w:szCs w:val="32"/>
        </w:rPr>
      </w:pPr>
    </w:p>
    <w:p w14:paraId="6C497439">
      <w:pPr>
        <w:numPr>
          <w:ilvl w:val="0"/>
          <w:numId w:val="1"/>
        </w:numPr>
        <w:spacing w:line="360" w:lineRule="auto"/>
        <w:rPr>
          <w:rFonts w:hint="eastAsia" w:eastAsia="宋体"/>
          <w:sz w:val="21"/>
          <w:szCs w:val="21"/>
        </w:rPr>
      </w:pPr>
      <w:r>
        <w:rPr>
          <w:rFonts w:ascii="Times New Roman" w:hAnsi="Times New Roman" w:eastAsia="宋体" w:cs="Times New Roman"/>
          <w:b/>
          <w:bCs/>
          <w:sz w:val="24"/>
          <w:szCs w:val="24"/>
        </w:rPr>
        <w:t>项目信息：</w:t>
      </w:r>
      <w:r>
        <w:rPr>
          <w:rFonts w:hint="eastAsia" w:ascii="Times New Roman" w:hAnsi="Times New Roman" w:eastAsia="宋体" w:cs="Times New Roman"/>
          <w:b/>
          <w:bCs/>
          <w:sz w:val="24"/>
          <w:szCs w:val="24"/>
        </w:rPr>
        <w:t>具备高普适性的光伏电站数据驱动式故障诊断系统与装置</w:t>
      </w:r>
    </w:p>
    <w:p w14:paraId="72686E34">
      <w:pPr>
        <w:numPr>
          <w:ilvl w:val="0"/>
          <w:numId w:val="1"/>
        </w:num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2、提名者及</w:t>
      </w:r>
      <w:r>
        <w:rPr>
          <w:rFonts w:hint="eastAsia" w:ascii="Times New Roman" w:hAnsi="Times New Roman" w:eastAsia="宋体" w:cs="Times New Roman"/>
          <w:b/>
          <w:bCs/>
          <w:sz w:val="24"/>
          <w:szCs w:val="24"/>
        </w:rPr>
        <w:t>拟</w:t>
      </w:r>
      <w:r>
        <w:rPr>
          <w:rFonts w:ascii="Times New Roman" w:hAnsi="Times New Roman" w:eastAsia="宋体" w:cs="Times New Roman"/>
          <w:b/>
          <w:bCs/>
          <w:sz w:val="24"/>
          <w:szCs w:val="24"/>
        </w:rPr>
        <w:t>提名等级</w:t>
      </w:r>
    </w:p>
    <w:p w14:paraId="533B7D4F">
      <w:pPr>
        <w:spacing w:line="360" w:lineRule="auto"/>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提名者： </w:t>
      </w:r>
      <w:r>
        <w:rPr>
          <w:rFonts w:hint="eastAsia" w:ascii="Times New Roman" w:hAnsi="Times New Roman" w:eastAsia="宋体" w:cs="Times New Roman"/>
          <w:sz w:val="24"/>
          <w:szCs w:val="24"/>
        </w:rPr>
        <w:t>南京工业大学、</w:t>
      </w:r>
      <w:r>
        <w:rPr>
          <w:rFonts w:hint="eastAsia" w:eastAsia="宋体"/>
          <w:sz w:val="21"/>
          <w:szCs w:val="21"/>
        </w:rPr>
        <w:t>中国电力科学研究院有限公司南京分院</w:t>
      </w:r>
      <w:r>
        <w:rPr>
          <w:rFonts w:hint="eastAsia" w:ascii="Times New Roman" w:hAnsi="Times New Roman" w:eastAsia="宋体" w:cs="Times New Roman"/>
          <w:sz w:val="24"/>
          <w:szCs w:val="24"/>
        </w:rPr>
        <w:t>、</w:t>
      </w:r>
      <w:r>
        <w:rPr>
          <w:rFonts w:hint="eastAsia" w:eastAsia="宋体"/>
          <w:sz w:val="21"/>
          <w:szCs w:val="21"/>
        </w:rPr>
        <w:t>上海交通大学</w:t>
      </w:r>
    </w:p>
    <w:p w14:paraId="0567D951">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拟</w:t>
      </w:r>
      <w:r>
        <w:rPr>
          <w:rFonts w:ascii="Times New Roman" w:hAnsi="Times New Roman" w:eastAsia="宋体" w:cs="Times New Roman"/>
          <w:sz w:val="24"/>
          <w:szCs w:val="24"/>
        </w:rPr>
        <w:t>提名等级：</w:t>
      </w:r>
      <w:r>
        <w:rPr>
          <w:rFonts w:hint="eastAsia" w:eastAsia="宋体"/>
          <w:sz w:val="21"/>
          <w:szCs w:val="21"/>
        </w:rPr>
        <w:t>江苏省自动化学会科学技术奖</w:t>
      </w:r>
    </w:p>
    <w:p w14:paraId="7C08ABAC">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3、项目简介：</w:t>
      </w:r>
      <w:bookmarkStart w:id="0" w:name="_GoBack"/>
      <w:bookmarkEnd w:id="0"/>
    </w:p>
    <w:p w14:paraId="3C7C5DDA">
      <w:pPr>
        <w:autoSpaceDE/>
        <w:autoSpaceDN/>
        <w:snapToGrid/>
        <w:spacing w:line="360" w:lineRule="auto"/>
        <w:ind w:firstLine="420" w:firstLineChars="200"/>
        <w:rPr>
          <w:rFonts w:ascii="宋体" w:hAnsi="宋体" w:eastAsia="宋体"/>
          <w:snapToGrid/>
          <w:kern w:val="2"/>
          <w:sz w:val="21"/>
          <w:szCs w:val="21"/>
        </w:rPr>
      </w:pPr>
      <w:r>
        <w:rPr>
          <w:rFonts w:hint="eastAsia" w:ascii="宋体" w:hAnsi="宋体" w:eastAsia="宋体"/>
          <w:snapToGrid/>
          <w:kern w:val="2"/>
          <w:sz w:val="21"/>
          <w:szCs w:val="21"/>
        </w:rPr>
        <w:t>近年来，随着国家双碳政策的稳步推进，光伏发电系统的建设如同雨后春笋，遍地开花。然而，光伏发电在提供绿色能源的同时，也带来了安全隐患，国内外</w:t>
      </w:r>
      <w:r>
        <w:rPr>
          <w:rFonts w:hint="eastAsia" w:ascii="宋体" w:hAnsi="宋体" w:eastAsia="宋体"/>
          <w:snapToGrid/>
          <w:color w:val="000000" w:themeColor="text1"/>
          <w:kern w:val="2"/>
          <w:sz w:val="21"/>
          <w:szCs w:val="21"/>
          <w14:textFill>
            <w14:solidFill>
              <w14:schemeClr w14:val="tx1"/>
            </w14:solidFill>
          </w14:textFill>
        </w:rPr>
        <w:t>光伏发电系统导致的</w:t>
      </w:r>
      <w:r>
        <w:rPr>
          <w:rFonts w:hint="eastAsia" w:ascii="宋体" w:hAnsi="宋体" w:eastAsia="宋体"/>
          <w:b/>
          <w:bCs/>
          <w:snapToGrid/>
          <w:color w:val="FF0000"/>
          <w:kern w:val="2"/>
          <w:sz w:val="21"/>
          <w:szCs w:val="21"/>
        </w:rPr>
        <w:t>火灾屡屡频发</w:t>
      </w:r>
      <w:r>
        <w:rPr>
          <w:rFonts w:hint="eastAsia" w:ascii="宋体" w:hAnsi="宋体" w:eastAsia="宋体"/>
          <w:snapToGrid/>
          <w:kern w:val="2"/>
          <w:sz w:val="21"/>
          <w:szCs w:val="21"/>
        </w:rPr>
        <w:t>。如何提高光伏发电的安全性，即将成为一个风口浪尖的话题。而光伏故障诊断和风险评估系统可将火灾预防于未然，或遏制在萌芽，是该问题的有效解决方案之一。</w:t>
      </w:r>
    </w:p>
    <w:p w14:paraId="0A293802">
      <w:pPr>
        <w:autoSpaceDE/>
        <w:autoSpaceDN/>
        <w:snapToGrid/>
        <w:spacing w:line="360" w:lineRule="auto"/>
        <w:ind w:firstLine="420" w:firstLineChars="200"/>
        <w:rPr>
          <w:rFonts w:ascii="宋体" w:hAnsi="宋体" w:eastAsia="宋体"/>
          <w:snapToGrid/>
          <w:kern w:val="2"/>
          <w:sz w:val="21"/>
          <w:szCs w:val="21"/>
        </w:rPr>
      </w:pPr>
      <w:r>
        <w:rPr>
          <w:rFonts w:hint="eastAsia" w:ascii="宋体" w:hAnsi="宋体" w:eastAsia="宋体"/>
          <w:snapToGrid/>
          <w:kern w:val="2"/>
          <w:sz w:val="21"/>
          <w:szCs w:val="21"/>
        </w:rPr>
        <w:t>相关研究最早是在上世纪9</w:t>
      </w:r>
      <w:r>
        <w:rPr>
          <w:rFonts w:ascii="宋体" w:hAnsi="宋体" w:eastAsia="宋体"/>
          <w:snapToGrid/>
          <w:kern w:val="2"/>
          <w:sz w:val="21"/>
          <w:szCs w:val="21"/>
        </w:rPr>
        <w:t>0</w:t>
      </w:r>
      <w:r>
        <w:rPr>
          <w:rFonts w:hint="eastAsia" w:ascii="宋体" w:hAnsi="宋体" w:eastAsia="宋体"/>
          <w:snapToGrid/>
          <w:kern w:val="2"/>
          <w:sz w:val="21"/>
          <w:szCs w:val="21"/>
        </w:rPr>
        <w:t>年代，</w:t>
      </w:r>
      <w:r>
        <w:rPr>
          <w:rFonts w:ascii="宋体" w:hAnsi="宋体" w:eastAsia="宋体"/>
          <w:snapToGrid/>
          <w:kern w:val="2"/>
          <w:sz w:val="21"/>
          <w:szCs w:val="21"/>
        </w:rPr>
        <w:t>美国电科院针对光伏电站通过人工方式进行数据采集</w:t>
      </w:r>
      <w:r>
        <w:rPr>
          <w:rFonts w:hint="eastAsia" w:ascii="宋体" w:hAnsi="宋体" w:eastAsia="宋体"/>
          <w:snapToGrid/>
          <w:kern w:val="2"/>
          <w:sz w:val="21"/>
          <w:szCs w:val="21"/>
        </w:rPr>
        <w:t>和数据分析。</w:t>
      </w:r>
      <w:r>
        <w:rPr>
          <w:rFonts w:ascii="宋体" w:hAnsi="宋体" w:eastAsia="宋体"/>
          <w:snapToGrid/>
          <w:kern w:val="2"/>
          <w:sz w:val="21"/>
          <w:szCs w:val="21"/>
        </w:rPr>
        <w:t>2009年8月，国内</w:t>
      </w:r>
      <w:r>
        <w:rPr>
          <w:rFonts w:hint="eastAsia" w:ascii="宋体" w:hAnsi="宋体" w:eastAsia="宋体"/>
          <w:snapToGrid/>
          <w:kern w:val="2"/>
          <w:sz w:val="21"/>
          <w:szCs w:val="21"/>
        </w:rPr>
        <w:t>建成了首</w:t>
      </w:r>
      <w:r>
        <w:rPr>
          <w:rFonts w:ascii="宋体" w:hAnsi="宋体" w:eastAsia="宋体"/>
          <w:snapToGrid/>
          <w:kern w:val="2"/>
          <w:sz w:val="21"/>
          <w:szCs w:val="21"/>
        </w:rPr>
        <w:t>家光伏发电监控管理平台，</w:t>
      </w:r>
      <w:r>
        <w:rPr>
          <w:rFonts w:hint="eastAsia" w:ascii="宋体" w:hAnsi="宋体" w:eastAsia="宋体"/>
          <w:snapToGrid/>
          <w:kern w:val="2"/>
          <w:sz w:val="21"/>
          <w:szCs w:val="21"/>
        </w:rPr>
        <w:t>此后金风科技、华为等系列企业开始了诊断系统的研制和推广。值得一提的是，项目团队也与青海省清洁能源大数据中心一起，共同建成了国家电网体系内首套落地使用的光伏电站故障诊断与风险评估系统，并以鲁能共和电站、念青格尔木电站等为对象，进行实际运用。</w:t>
      </w:r>
    </w:p>
    <w:p w14:paraId="6A5666F6">
      <w:pPr>
        <w:autoSpaceDE/>
        <w:autoSpaceDN/>
        <w:snapToGrid/>
        <w:spacing w:line="360" w:lineRule="auto"/>
        <w:ind w:firstLine="420" w:firstLineChars="200"/>
        <w:rPr>
          <w:rFonts w:ascii="宋体" w:hAnsi="宋体" w:eastAsia="宋体"/>
          <w:snapToGrid/>
          <w:kern w:val="2"/>
          <w:sz w:val="21"/>
          <w:szCs w:val="21"/>
        </w:rPr>
      </w:pPr>
      <w:r>
        <w:rPr>
          <w:rFonts w:hint="eastAsia" w:ascii="宋体" w:hAnsi="宋体" w:eastAsia="宋体"/>
          <w:snapToGrid/>
          <w:kern w:val="2"/>
          <w:sz w:val="21"/>
          <w:szCs w:val="21"/>
        </w:rPr>
        <w:t>常规光伏电站故障诊断系统采用“云-网-边-端”架构，通过传感器将各类参数进行实时采集和常见故障诊断；同时，融合无人机巡检，对光伏系统特有的“热斑”故障进行检测。较人工巡检而言，可显著减少巡检工作量，提高电站运行可靠性。但仍存在如下问题待克服：</w:t>
      </w:r>
    </w:p>
    <w:p w14:paraId="0FB8DB17">
      <w:pPr>
        <w:pStyle w:val="35"/>
        <w:numPr>
          <w:ilvl w:val="0"/>
          <w:numId w:val="2"/>
        </w:numPr>
        <w:autoSpaceDE/>
        <w:autoSpaceDN/>
        <w:snapToGrid/>
        <w:spacing w:line="360" w:lineRule="auto"/>
        <w:ind w:firstLineChars="0"/>
        <w:rPr>
          <w:rFonts w:ascii="宋体" w:hAnsi="宋体" w:eastAsia="宋体"/>
          <w:snapToGrid/>
          <w:kern w:val="2"/>
          <w:sz w:val="21"/>
          <w:szCs w:val="21"/>
        </w:rPr>
      </w:pPr>
      <w:r>
        <w:rPr>
          <w:rFonts w:hint="eastAsia" w:ascii="宋体" w:hAnsi="宋体" w:eastAsia="宋体"/>
          <w:snapToGrid/>
          <w:kern w:val="2"/>
          <w:sz w:val="21"/>
          <w:szCs w:val="21"/>
        </w:rPr>
        <w:t>光伏电站实时数据</w:t>
      </w:r>
      <w:r>
        <w:rPr>
          <w:rFonts w:hint="eastAsia" w:ascii="宋体" w:hAnsi="宋体" w:eastAsia="宋体"/>
          <w:b/>
          <w:bCs/>
          <w:snapToGrid/>
          <w:color w:val="FF0000"/>
          <w:kern w:val="2"/>
          <w:sz w:val="21"/>
          <w:szCs w:val="21"/>
        </w:rPr>
        <w:t>数据质量往往堪忧</w:t>
      </w:r>
      <w:r>
        <w:rPr>
          <w:rFonts w:hint="eastAsia" w:ascii="宋体" w:hAnsi="宋体" w:eastAsia="宋体"/>
          <w:snapToGrid/>
          <w:kern w:val="2"/>
          <w:sz w:val="21"/>
          <w:szCs w:val="21"/>
        </w:rPr>
        <w:t>。以某实际电站故障诊断数据治理为例，其数据大量出现“逆变器输出功率大于输入功率”、“黑夜中光伏组件电流维持在高值”等一系列违背自然规律的读值。</w:t>
      </w:r>
    </w:p>
    <w:p w14:paraId="41B9AE2A">
      <w:pPr>
        <w:pStyle w:val="35"/>
        <w:numPr>
          <w:ilvl w:val="0"/>
          <w:numId w:val="2"/>
        </w:numPr>
        <w:autoSpaceDE/>
        <w:autoSpaceDN/>
        <w:snapToGrid/>
        <w:spacing w:line="360" w:lineRule="auto"/>
        <w:ind w:firstLineChars="0"/>
        <w:rPr>
          <w:rFonts w:ascii="宋体" w:hAnsi="宋体" w:eastAsia="宋体"/>
          <w:snapToGrid/>
          <w:kern w:val="2"/>
          <w:sz w:val="21"/>
          <w:szCs w:val="21"/>
        </w:rPr>
      </w:pPr>
      <w:r>
        <w:rPr>
          <w:rFonts w:hint="eastAsia" w:ascii="宋体" w:hAnsi="宋体" w:eastAsia="宋体"/>
          <w:snapToGrid/>
          <w:kern w:val="2"/>
          <w:sz w:val="21"/>
          <w:szCs w:val="21"/>
        </w:rPr>
        <w:t>光伏电站关键设备故障风险缺少综合评估手段。传统方法通过一些关键变量的监测，如发电量，进行故障风险评估，对设备的评价不够客观；当前改进思路是通过</w:t>
      </w:r>
      <w:r>
        <w:rPr>
          <w:rFonts w:hint="eastAsia" w:ascii="宋体" w:hAnsi="宋体" w:eastAsia="宋体"/>
          <w:snapToGrid/>
          <w:color w:val="000000" w:themeColor="text1"/>
          <w:kern w:val="2"/>
          <w:sz w:val="21"/>
          <w:szCs w:val="21"/>
          <w14:textFill>
            <w14:solidFill>
              <w14:schemeClr w14:val="tx1"/>
            </w14:solidFill>
          </w14:textFill>
        </w:rPr>
        <w:t>人工智能方法建立分类器进行风险评估，虽然实现了综合评判，</w:t>
      </w:r>
      <w:r>
        <w:rPr>
          <w:rFonts w:hint="eastAsia" w:ascii="宋体" w:hAnsi="宋体" w:eastAsia="宋体"/>
          <w:snapToGrid/>
          <w:kern w:val="2"/>
          <w:sz w:val="21"/>
          <w:szCs w:val="21"/>
        </w:rPr>
        <w:t>但其本质上是黑盒子模型，对各个样本的具体的</w:t>
      </w:r>
      <w:r>
        <w:rPr>
          <w:rFonts w:hint="eastAsia" w:ascii="宋体" w:hAnsi="宋体" w:eastAsia="宋体"/>
          <w:b/>
          <w:bCs/>
          <w:snapToGrid/>
          <w:color w:val="FF0000"/>
          <w:kern w:val="2"/>
          <w:sz w:val="21"/>
          <w:szCs w:val="21"/>
        </w:rPr>
        <w:t>风险计算仍缺少科学依据及可解释性</w:t>
      </w:r>
      <w:r>
        <w:rPr>
          <w:rFonts w:hint="eastAsia" w:ascii="宋体" w:hAnsi="宋体" w:eastAsia="宋体"/>
          <w:snapToGrid/>
          <w:kern w:val="2"/>
          <w:sz w:val="21"/>
          <w:szCs w:val="21"/>
        </w:rPr>
        <w:t>。</w:t>
      </w:r>
    </w:p>
    <w:p w14:paraId="0B5B4C90">
      <w:pPr>
        <w:pStyle w:val="35"/>
        <w:numPr>
          <w:ilvl w:val="0"/>
          <w:numId w:val="2"/>
        </w:numPr>
        <w:autoSpaceDE/>
        <w:autoSpaceDN/>
        <w:snapToGrid/>
        <w:spacing w:line="360" w:lineRule="auto"/>
        <w:ind w:firstLineChars="0"/>
        <w:rPr>
          <w:rFonts w:ascii="宋体" w:hAnsi="宋体" w:eastAsia="宋体"/>
          <w:snapToGrid/>
          <w:kern w:val="2"/>
          <w:sz w:val="21"/>
          <w:szCs w:val="21"/>
        </w:rPr>
      </w:pPr>
      <w:r>
        <w:rPr>
          <w:rFonts w:hint="eastAsia" w:ascii="宋体" w:hAnsi="宋体" w:eastAsia="宋体"/>
          <w:snapToGrid/>
          <w:kern w:val="2"/>
          <w:sz w:val="21"/>
          <w:szCs w:val="21"/>
        </w:rPr>
        <w:t>对于热斑故障缺少低成本的实时诊断措施。热斑故障指的是组件受外部遮挡或内部瑕疵等因素影响，局部不断积累热量。该故障不仅降低发电量，更可能导致火灾，是光伏电站故障诊断</w:t>
      </w:r>
      <w:r>
        <w:rPr>
          <w:rFonts w:hint="eastAsia" w:ascii="宋体" w:hAnsi="宋体" w:eastAsia="宋体"/>
          <w:snapToGrid/>
          <w:color w:val="000000" w:themeColor="text1"/>
          <w:kern w:val="2"/>
          <w:sz w:val="21"/>
          <w:szCs w:val="21"/>
          <w14:textFill>
            <w14:solidFill>
              <w14:schemeClr w14:val="tx1"/>
            </w14:solidFill>
          </w14:textFill>
        </w:rPr>
        <w:t>的</w:t>
      </w:r>
      <w:r>
        <w:rPr>
          <w:rFonts w:hint="eastAsia" w:ascii="宋体" w:hAnsi="宋体" w:eastAsia="宋体"/>
          <w:b/>
          <w:bCs/>
          <w:snapToGrid/>
          <w:color w:val="FF0000"/>
          <w:kern w:val="2"/>
          <w:sz w:val="21"/>
          <w:szCs w:val="21"/>
        </w:rPr>
        <w:t>“最后一公里”问题</w:t>
      </w:r>
      <w:r>
        <w:rPr>
          <w:rFonts w:hint="eastAsia" w:ascii="宋体" w:hAnsi="宋体" w:eastAsia="宋体"/>
          <w:snapToGrid/>
          <w:color w:val="000000" w:themeColor="text1"/>
          <w:kern w:val="2"/>
          <w:sz w:val="21"/>
          <w:szCs w:val="21"/>
          <w14:textFill>
            <w14:solidFill>
              <w14:schemeClr w14:val="tx1"/>
            </w14:solidFill>
          </w14:textFill>
        </w:rPr>
        <w:t>。</w:t>
      </w:r>
      <w:r>
        <w:rPr>
          <w:rFonts w:hint="eastAsia" w:ascii="宋体" w:hAnsi="宋体" w:eastAsia="宋体"/>
          <w:snapToGrid/>
          <w:kern w:val="2"/>
          <w:sz w:val="21"/>
          <w:szCs w:val="21"/>
        </w:rPr>
        <w:t>常规诊断方式通常采用无人机+红外成像+图像分析实现，不仅</w:t>
      </w:r>
      <w:r>
        <w:rPr>
          <w:rFonts w:hint="eastAsia" w:ascii="宋体" w:hAnsi="宋体" w:eastAsia="宋体"/>
          <w:b/>
          <w:bCs/>
          <w:snapToGrid/>
          <w:color w:val="FF0000"/>
          <w:kern w:val="2"/>
          <w:sz w:val="21"/>
          <w:szCs w:val="21"/>
        </w:rPr>
        <w:t>成本较高，且无法实时监控</w:t>
      </w:r>
      <w:r>
        <w:rPr>
          <w:rFonts w:hint="eastAsia" w:ascii="宋体" w:hAnsi="宋体" w:eastAsia="宋体"/>
          <w:snapToGrid/>
          <w:kern w:val="2"/>
          <w:sz w:val="21"/>
          <w:szCs w:val="21"/>
        </w:rPr>
        <w:t>，多用于大型集中式光伏电站。对于小型电站以及居民房顶分布式发电，配备无人机定时巡检的成本过高，普适性低。</w:t>
      </w:r>
    </w:p>
    <w:p w14:paraId="4894F8D8">
      <w:pPr>
        <w:adjustRightInd w:val="0"/>
        <w:snapToGrid/>
        <w:spacing w:line="360" w:lineRule="auto"/>
        <w:ind w:firstLine="420" w:firstLineChars="200"/>
        <w:rPr>
          <w:rFonts w:ascii="宋体" w:hAnsi="宋体" w:eastAsia="宋体"/>
          <w:snapToGrid/>
          <w:kern w:val="2"/>
          <w:sz w:val="21"/>
          <w:szCs w:val="21"/>
        </w:rPr>
      </w:pPr>
      <w:r>
        <w:rPr>
          <w:rFonts w:hint="eastAsia" w:ascii="宋体" w:hAnsi="宋体" w:eastAsia="宋体"/>
          <w:snapToGrid/>
          <w:kern w:val="2"/>
          <w:sz w:val="21"/>
          <w:szCs w:val="21"/>
        </w:rPr>
        <w:t>为应对这些挑战，项目进行系统性技术创新，含：</w:t>
      </w:r>
      <w:r>
        <w:rPr>
          <w:rFonts w:hint="eastAsia" w:ascii="宋体" w:hAnsi="宋体" w:eastAsia="宋体"/>
          <w:b/>
          <w:bCs/>
          <w:snapToGrid/>
          <w:kern w:val="2"/>
          <w:sz w:val="21"/>
          <w:szCs w:val="21"/>
        </w:rPr>
        <w:t>1）</w:t>
      </w:r>
      <w:r>
        <w:rPr>
          <w:rFonts w:ascii="宋体" w:hAnsi="宋体" w:eastAsia="宋体"/>
          <w:b/>
          <w:bCs/>
          <w:snapToGrid/>
          <w:color w:val="0070C0"/>
          <w:kern w:val="2"/>
          <w:sz w:val="21"/>
          <w:szCs w:val="21"/>
        </w:rPr>
        <w:t>低质量数据情况下光伏关键设备故障诊断</w:t>
      </w:r>
      <w:r>
        <w:rPr>
          <w:rFonts w:hint="eastAsia" w:ascii="宋体" w:hAnsi="宋体" w:eastAsia="宋体"/>
          <w:b/>
          <w:bCs/>
          <w:snapToGrid/>
          <w:kern w:val="2"/>
          <w:sz w:val="21"/>
          <w:szCs w:val="21"/>
        </w:rPr>
        <w:t>；2）</w:t>
      </w:r>
      <w:r>
        <w:rPr>
          <w:rFonts w:ascii="宋体" w:hAnsi="宋体" w:eastAsia="宋体"/>
          <w:b/>
          <w:bCs/>
          <w:snapToGrid/>
          <w:color w:val="0070C0"/>
          <w:kern w:val="2"/>
          <w:sz w:val="21"/>
          <w:szCs w:val="21"/>
        </w:rPr>
        <w:t>基于数据驱动的逆变器效率和光伏组件运行状态的性能评估</w:t>
      </w:r>
      <w:r>
        <w:rPr>
          <w:rFonts w:hint="eastAsia" w:ascii="宋体" w:hAnsi="宋体" w:eastAsia="宋体"/>
          <w:b/>
          <w:bCs/>
          <w:snapToGrid/>
          <w:kern w:val="2"/>
          <w:sz w:val="21"/>
          <w:szCs w:val="21"/>
        </w:rPr>
        <w:t>；3）</w:t>
      </w:r>
      <w:r>
        <w:rPr>
          <w:rFonts w:ascii="宋体" w:hAnsi="宋体" w:eastAsia="宋体"/>
          <w:b/>
          <w:bCs/>
          <w:snapToGrid/>
          <w:color w:val="0070C0"/>
          <w:kern w:val="2"/>
          <w:sz w:val="21"/>
          <w:szCs w:val="21"/>
        </w:rPr>
        <w:t>基于电信号</w:t>
      </w:r>
      <w:r>
        <w:rPr>
          <w:rFonts w:hint="eastAsia" w:ascii="宋体" w:hAnsi="宋体" w:eastAsia="宋体"/>
          <w:b/>
          <w:bCs/>
          <w:snapToGrid/>
          <w:color w:val="0070C0"/>
          <w:kern w:val="2"/>
          <w:sz w:val="21"/>
          <w:szCs w:val="21"/>
        </w:rPr>
        <w:t>和流形学习</w:t>
      </w:r>
      <w:r>
        <w:rPr>
          <w:rFonts w:ascii="宋体" w:hAnsi="宋体" w:eastAsia="宋体"/>
          <w:b/>
          <w:bCs/>
          <w:snapToGrid/>
          <w:color w:val="0070C0"/>
          <w:kern w:val="2"/>
          <w:sz w:val="21"/>
          <w:szCs w:val="21"/>
        </w:rPr>
        <w:t>的热斑故障实时诊断技术</w:t>
      </w:r>
      <w:r>
        <w:rPr>
          <w:rFonts w:hint="eastAsia" w:ascii="宋体" w:hAnsi="宋体" w:eastAsia="宋体"/>
          <w:b/>
          <w:bCs/>
          <w:snapToGrid/>
          <w:kern w:val="2"/>
          <w:sz w:val="21"/>
          <w:szCs w:val="21"/>
        </w:rPr>
        <w:t>。</w:t>
      </w:r>
    </w:p>
    <w:p w14:paraId="161B49B8">
      <w:pPr>
        <w:adjustRightInd w:val="0"/>
        <w:snapToGrid/>
        <w:spacing w:line="360" w:lineRule="auto"/>
        <w:ind w:firstLine="420" w:firstLineChars="200"/>
        <w:rPr>
          <w:rFonts w:ascii="宋体" w:hAnsi="宋体" w:eastAsia="宋体"/>
          <w:snapToGrid/>
          <w:kern w:val="2"/>
          <w:sz w:val="21"/>
          <w:szCs w:val="21"/>
        </w:rPr>
      </w:pPr>
      <w:r>
        <w:rPr>
          <w:rFonts w:hint="eastAsia" w:ascii="宋体" w:hAnsi="宋体" w:eastAsia="宋体"/>
          <w:snapToGrid/>
          <w:kern w:val="2"/>
          <w:sz w:val="21"/>
          <w:szCs w:val="21"/>
        </w:rPr>
        <w:t>集成上述成果，项目研制了基于电性能参数的组串故障一体化监测智能终端，以及基于“云-边-端”协同架构的光伏设备安全管理平台。在具备完全知识产权的情况下，为光伏电站的安全运维，尤其是火灾预防，提供了一套</w:t>
      </w:r>
      <w:r>
        <w:rPr>
          <w:rFonts w:hint="eastAsia" w:ascii="宋体" w:hAnsi="宋体" w:eastAsia="宋体"/>
          <w:b/>
          <w:bCs/>
          <w:snapToGrid/>
          <w:color w:val="FF0000"/>
          <w:kern w:val="2"/>
          <w:sz w:val="21"/>
          <w:szCs w:val="21"/>
        </w:rPr>
        <w:t>低成本、高可靠、强普适</w:t>
      </w:r>
      <w:r>
        <w:rPr>
          <w:rFonts w:hint="eastAsia" w:ascii="宋体" w:hAnsi="宋体" w:eastAsia="宋体"/>
          <w:snapToGrid/>
          <w:kern w:val="2"/>
          <w:sz w:val="21"/>
          <w:szCs w:val="21"/>
        </w:rPr>
        <w:t>的实时监测手段。</w:t>
      </w:r>
    </w:p>
    <w:p w14:paraId="26853401">
      <w:pPr>
        <w:pStyle w:val="18"/>
        <w:spacing w:line="360" w:lineRule="auto"/>
        <w:rPr>
          <w:rFonts w:hint="eastAsia" w:eastAsia="宋体"/>
          <w:sz w:val="21"/>
          <w:szCs w:val="21"/>
        </w:rPr>
      </w:pPr>
      <w:r>
        <w:rPr>
          <w:rFonts w:hint="eastAsia" w:ascii="宋体" w:hAnsi="宋体" w:eastAsia="宋体"/>
          <w:snapToGrid/>
          <w:kern w:val="2"/>
          <w:sz w:val="21"/>
          <w:szCs w:val="21"/>
        </w:rPr>
        <w:t>项目授权发明专利10项，软著2项，录用论文1</w:t>
      </w:r>
      <w:r>
        <w:rPr>
          <w:rFonts w:ascii="宋体" w:hAnsi="宋体" w:eastAsia="宋体"/>
          <w:snapToGrid/>
          <w:kern w:val="2"/>
          <w:sz w:val="21"/>
          <w:szCs w:val="21"/>
        </w:rPr>
        <w:t>9</w:t>
      </w:r>
      <w:r>
        <w:rPr>
          <w:rFonts w:hint="eastAsia" w:ascii="宋体" w:hAnsi="宋体" w:eastAsia="宋体"/>
          <w:snapToGrid/>
          <w:kern w:val="2"/>
          <w:sz w:val="21"/>
          <w:szCs w:val="21"/>
        </w:rPr>
        <w:t>篇，专著1部，发布国家标准2项。</w:t>
      </w:r>
      <w:r>
        <w:rPr>
          <w:rFonts w:hint="eastAsia" w:eastAsia="宋体"/>
          <w:sz w:val="21"/>
          <w:szCs w:val="21"/>
        </w:rPr>
        <w:t>相关成果经中国电机工程学会进行鉴定为国内首创，达到了国际领先水平；同时，自主配套软件在功能性、易用性、可靠性方面也通过了第三方专业机构检测；在实际工程应用中，所建系统能够在2秒内实现实时诊断，准确率为9</w:t>
      </w:r>
      <w:r>
        <w:rPr>
          <w:rFonts w:eastAsia="宋体"/>
          <w:sz w:val="21"/>
          <w:szCs w:val="21"/>
        </w:rPr>
        <w:t>6.5%</w:t>
      </w:r>
      <w:r>
        <w:rPr>
          <w:rFonts w:hint="eastAsia" w:eastAsia="宋体"/>
          <w:sz w:val="21"/>
          <w:szCs w:val="21"/>
        </w:rPr>
        <w:t>，可减少4</w:t>
      </w:r>
      <w:r>
        <w:rPr>
          <w:rFonts w:eastAsia="宋体"/>
          <w:sz w:val="21"/>
          <w:szCs w:val="21"/>
        </w:rPr>
        <w:t>0</w:t>
      </w:r>
      <w:r>
        <w:rPr>
          <w:rFonts w:hint="eastAsia" w:eastAsia="宋体"/>
          <w:sz w:val="21"/>
          <w:szCs w:val="21"/>
        </w:rPr>
        <w:t>%巡检工作量，并因故障的及时排除而提高约2</w:t>
      </w:r>
      <w:r>
        <w:rPr>
          <w:rFonts w:eastAsia="宋体"/>
          <w:sz w:val="21"/>
          <w:szCs w:val="21"/>
        </w:rPr>
        <w:t>%</w:t>
      </w:r>
      <w:r>
        <w:rPr>
          <w:rFonts w:hint="eastAsia" w:eastAsia="宋体"/>
          <w:sz w:val="21"/>
          <w:szCs w:val="21"/>
        </w:rPr>
        <w:t>的发电量。项目成果对提升我国光伏发电系统的安全、高效运维具备显著工程运用价值，推广前景好。</w:t>
      </w:r>
    </w:p>
    <w:p w14:paraId="56D6C023">
      <w:pPr>
        <w:pStyle w:val="18"/>
        <w:spacing w:line="360" w:lineRule="auto"/>
        <w:rPr>
          <w:rFonts w:hint="eastAsia" w:eastAsia="宋体"/>
          <w:sz w:val="21"/>
          <w:szCs w:val="21"/>
        </w:rPr>
      </w:pPr>
    </w:p>
    <w:p w14:paraId="415068E6">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、主要完成人基本情况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019"/>
        <w:gridCol w:w="1631"/>
        <w:gridCol w:w="2331"/>
        <w:gridCol w:w="2907"/>
      </w:tblGrid>
      <w:tr w14:paraId="31DD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6B88738F">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序号</w:t>
            </w:r>
          </w:p>
        </w:tc>
        <w:tc>
          <w:tcPr>
            <w:tcW w:w="1019" w:type="dxa"/>
            <w:vAlign w:val="center"/>
          </w:tcPr>
          <w:p w14:paraId="6CC61BAC">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姓名</w:t>
            </w:r>
          </w:p>
        </w:tc>
        <w:tc>
          <w:tcPr>
            <w:tcW w:w="1631" w:type="dxa"/>
            <w:vAlign w:val="center"/>
          </w:tcPr>
          <w:p w14:paraId="072096E4">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职务/职称</w:t>
            </w:r>
          </w:p>
        </w:tc>
        <w:tc>
          <w:tcPr>
            <w:tcW w:w="2331" w:type="dxa"/>
            <w:vAlign w:val="center"/>
          </w:tcPr>
          <w:p w14:paraId="0849509E">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完成单位</w:t>
            </w:r>
          </w:p>
        </w:tc>
        <w:tc>
          <w:tcPr>
            <w:tcW w:w="0" w:type="auto"/>
            <w:vAlign w:val="center"/>
          </w:tcPr>
          <w:p w14:paraId="7FA6822E">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工作单位</w:t>
            </w:r>
          </w:p>
        </w:tc>
      </w:tr>
      <w:tr w14:paraId="02F7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09821992">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19" w:type="dxa"/>
            <w:vAlign w:val="center"/>
          </w:tcPr>
          <w:p w14:paraId="5F1BAEAF">
            <w:pPr>
              <w:jc w:val="center"/>
              <w:rPr>
                <w:rFonts w:hint="eastAsia" w:ascii="宋体" w:hAnsi="宋体" w:eastAsia="宋体" w:cs="Times New Roman"/>
                <w:sz w:val="24"/>
                <w:szCs w:val="24"/>
              </w:rPr>
            </w:pPr>
            <w:r>
              <w:rPr>
                <w:rFonts w:hint="eastAsia" w:eastAsia="宋体"/>
                <w:sz w:val="21"/>
                <w:szCs w:val="21"/>
              </w:rPr>
              <w:t>易辉</w:t>
            </w:r>
          </w:p>
        </w:tc>
        <w:tc>
          <w:tcPr>
            <w:tcW w:w="1631" w:type="dxa"/>
            <w:vAlign w:val="center"/>
          </w:tcPr>
          <w:p w14:paraId="440955B4">
            <w:pPr>
              <w:jc w:val="center"/>
              <w:rPr>
                <w:rFonts w:hint="eastAsia" w:ascii="宋体" w:hAnsi="宋体" w:eastAsia="宋体" w:cs="Times New Roman"/>
                <w:sz w:val="24"/>
                <w:szCs w:val="24"/>
              </w:rPr>
            </w:pPr>
            <w:r>
              <w:rPr>
                <w:rFonts w:hint="eastAsia" w:eastAsia="宋体"/>
                <w:sz w:val="21"/>
                <w:szCs w:val="21"/>
              </w:rPr>
              <w:t>院长助理</w:t>
            </w:r>
          </w:p>
        </w:tc>
        <w:tc>
          <w:tcPr>
            <w:tcW w:w="2331" w:type="dxa"/>
            <w:vAlign w:val="center"/>
          </w:tcPr>
          <w:p w14:paraId="3529A3F9">
            <w:pPr>
              <w:jc w:val="center"/>
              <w:rPr>
                <w:rFonts w:hint="eastAsia" w:ascii="宋体" w:hAnsi="宋体" w:eastAsia="宋体" w:cs="Times New Roman"/>
                <w:sz w:val="24"/>
                <w:szCs w:val="24"/>
              </w:rPr>
            </w:pPr>
            <w:r>
              <w:rPr>
                <w:rFonts w:hint="eastAsia" w:ascii="宋体" w:hAnsi="宋体" w:eastAsia="宋体"/>
                <w:bCs/>
                <w:sz w:val="24"/>
                <w:szCs w:val="24"/>
              </w:rPr>
              <w:t>南京工业大学</w:t>
            </w:r>
          </w:p>
        </w:tc>
        <w:tc>
          <w:tcPr>
            <w:tcW w:w="0" w:type="auto"/>
            <w:vAlign w:val="center"/>
          </w:tcPr>
          <w:p w14:paraId="1984492C">
            <w:pPr>
              <w:jc w:val="center"/>
              <w:rPr>
                <w:rFonts w:hint="eastAsia" w:ascii="宋体" w:hAnsi="宋体" w:eastAsia="宋体" w:cs="Times New Roman"/>
                <w:sz w:val="24"/>
                <w:szCs w:val="24"/>
              </w:rPr>
            </w:pPr>
            <w:r>
              <w:rPr>
                <w:rFonts w:hint="eastAsia" w:ascii="宋体" w:hAnsi="宋体" w:eastAsia="宋体"/>
                <w:bCs/>
                <w:sz w:val="24"/>
                <w:szCs w:val="24"/>
              </w:rPr>
              <w:t>南京工业大学</w:t>
            </w:r>
          </w:p>
        </w:tc>
      </w:tr>
      <w:tr w14:paraId="2BEB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79BCDCC0">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019" w:type="dxa"/>
            <w:vAlign w:val="center"/>
          </w:tcPr>
          <w:p w14:paraId="5D6DA0CB">
            <w:pPr>
              <w:jc w:val="center"/>
              <w:rPr>
                <w:rFonts w:hint="eastAsia" w:ascii="宋体" w:hAnsi="宋体" w:eastAsia="宋体" w:cs="Times New Roman"/>
                <w:sz w:val="24"/>
                <w:szCs w:val="24"/>
              </w:rPr>
            </w:pPr>
            <w:r>
              <w:rPr>
                <w:rFonts w:hint="eastAsia" w:eastAsia="宋体"/>
                <w:sz w:val="21"/>
                <w:szCs w:val="21"/>
              </w:rPr>
              <w:t>秦筱迪</w:t>
            </w:r>
          </w:p>
        </w:tc>
        <w:tc>
          <w:tcPr>
            <w:tcW w:w="1631" w:type="dxa"/>
            <w:vAlign w:val="center"/>
          </w:tcPr>
          <w:p w14:paraId="51BE8401">
            <w:pPr>
              <w:jc w:val="center"/>
              <w:rPr>
                <w:rFonts w:hint="eastAsia" w:ascii="宋体" w:hAnsi="宋体" w:eastAsia="宋体" w:cs="Times New Roman"/>
                <w:sz w:val="24"/>
                <w:szCs w:val="24"/>
              </w:rPr>
            </w:pPr>
            <w:r>
              <w:rPr>
                <w:rFonts w:hint="eastAsia" w:eastAsia="宋体"/>
                <w:sz w:val="21"/>
                <w:szCs w:val="21"/>
              </w:rPr>
              <w:t>科室主任</w:t>
            </w:r>
          </w:p>
        </w:tc>
        <w:tc>
          <w:tcPr>
            <w:tcW w:w="2331" w:type="dxa"/>
            <w:vAlign w:val="center"/>
          </w:tcPr>
          <w:p w14:paraId="14DB08A9">
            <w:pPr>
              <w:jc w:val="center"/>
              <w:rPr>
                <w:rFonts w:hint="eastAsia" w:ascii="宋体" w:hAnsi="宋体" w:eastAsia="宋体" w:cs="Times New Roman"/>
                <w:sz w:val="24"/>
                <w:szCs w:val="24"/>
              </w:rPr>
            </w:pPr>
            <w:r>
              <w:rPr>
                <w:rFonts w:hint="eastAsia" w:eastAsia="宋体"/>
                <w:sz w:val="21"/>
                <w:szCs w:val="21"/>
              </w:rPr>
              <w:t>中国电力科学研究院有限公司南京分院</w:t>
            </w:r>
          </w:p>
        </w:tc>
        <w:tc>
          <w:tcPr>
            <w:tcW w:w="0" w:type="auto"/>
            <w:vAlign w:val="center"/>
          </w:tcPr>
          <w:p w14:paraId="31E7FD42">
            <w:pPr>
              <w:jc w:val="center"/>
              <w:rPr>
                <w:rFonts w:hint="eastAsia" w:ascii="宋体" w:hAnsi="宋体" w:eastAsia="宋体" w:cs="Times New Roman"/>
                <w:sz w:val="24"/>
                <w:szCs w:val="24"/>
              </w:rPr>
            </w:pPr>
            <w:r>
              <w:rPr>
                <w:rFonts w:hint="eastAsia" w:eastAsia="宋体"/>
                <w:sz w:val="21"/>
                <w:szCs w:val="21"/>
              </w:rPr>
              <w:t>中国电力科学研究院有限公司南京分院</w:t>
            </w:r>
          </w:p>
        </w:tc>
      </w:tr>
      <w:tr w14:paraId="76EF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087A27FA">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019" w:type="dxa"/>
            <w:vAlign w:val="center"/>
          </w:tcPr>
          <w:p w14:paraId="515C44E3">
            <w:pPr>
              <w:jc w:val="center"/>
              <w:rPr>
                <w:rFonts w:hint="eastAsia" w:ascii="宋体" w:hAnsi="宋体" w:eastAsia="宋体" w:cs="Times New Roman"/>
                <w:sz w:val="24"/>
                <w:szCs w:val="24"/>
              </w:rPr>
            </w:pPr>
            <w:r>
              <w:rPr>
                <w:rFonts w:hint="eastAsia" w:eastAsia="宋体"/>
                <w:sz w:val="21"/>
                <w:szCs w:val="21"/>
              </w:rPr>
              <w:t>陈宏田</w:t>
            </w:r>
          </w:p>
        </w:tc>
        <w:tc>
          <w:tcPr>
            <w:tcW w:w="1631" w:type="dxa"/>
            <w:vAlign w:val="center"/>
          </w:tcPr>
          <w:p w14:paraId="5BCB929A">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副教授</w:t>
            </w:r>
          </w:p>
        </w:tc>
        <w:tc>
          <w:tcPr>
            <w:tcW w:w="2331" w:type="dxa"/>
            <w:vAlign w:val="center"/>
          </w:tcPr>
          <w:p w14:paraId="2BC40B7E">
            <w:pPr>
              <w:jc w:val="center"/>
              <w:rPr>
                <w:rFonts w:hint="eastAsia" w:ascii="宋体" w:hAnsi="宋体" w:eastAsia="宋体" w:cs="Times New Roman"/>
                <w:sz w:val="24"/>
                <w:szCs w:val="24"/>
              </w:rPr>
            </w:pPr>
            <w:r>
              <w:rPr>
                <w:rFonts w:hint="eastAsia" w:eastAsia="宋体"/>
                <w:sz w:val="21"/>
                <w:szCs w:val="21"/>
              </w:rPr>
              <w:t>上海交通大学</w:t>
            </w:r>
          </w:p>
        </w:tc>
        <w:tc>
          <w:tcPr>
            <w:tcW w:w="0" w:type="auto"/>
            <w:vAlign w:val="center"/>
          </w:tcPr>
          <w:p w14:paraId="1AF9A9AE">
            <w:pPr>
              <w:jc w:val="center"/>
              <w:rPr>
                <w:rFonts w:hint="eastAsia" w:ascii="宋体" w:hAnsi="宋体" w:eastAsia="宋体" w:cs="Times New Roman"/>
                <w:sz w:val="24"/>
                <w:szCs w:val="24"/>
              </w:rPr>
            </w:pPr>
            <w:r>
              <w:rPr>
                <w:rFonts w:hint="eastAsia" w:eastAsia="宋体"/>
                <w:sz w:val="21"/>
                <w:szCs w:val="21"/>
              </w:rPr>
              <w:t>上海交通大学</w:t>
            </w:r>
          </w:p>
        </w:tc>
      </w:tr>
      <w:tr w14:paraId="574D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54A77FDA">
            <w:pPr>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019" w:type="dxa"/>
            <w:vAlign w:val="center"/>
          </w:tcPr>
          <w:p w14:paraId="38E0BAEB">
            <w:pPr>
              <w:jc w:val="center"/>
              <w:rPr>
                <w:rFonts w:hint="eastAsia" w:ascii="宋体" w:hAnsi="宋体" w:eastAsia="宋体" w:cs="Times New Roman"/>
                <w:sz w:val="24"/>
                <w:szCs w:val="24"/>
              </w:rPr>
            </w:pPr>
            <w:r>
              <w:rPr>
                <w:rFonts w:hint="eastAsia" w:eastAsia="宋体"/>
                <w:sz w:val="21"/>
                <w:szCs w:val="21"/>
              </w:rPr>
              <w:t>李红涛</w:t>
            </w:r>
          </w:p>
        </w:tc>
        <w:tc>
          <w:tcPr>
            <w:tcW w:w="1631" w:type="dxa"/>
            <w:vAlign w:val="center"/>
          </w:tcPr>
          <w:p w14:paraId="206F925A">
            <w:pPr>
              <w:jc w:val="center"/>
              <w:rPr>
                <w:rFonts w:hint="default" w:ascii="宋体" w:hAnsi="宋体" w:eastAsia="宋体" w:cs="Times New Roman"/>
                <w:sz w:val="24"/>
                <w:szCs w:val="24"/>
                <w:lang w:val="en-US" w:eastAsia="zh-CN"/>
              </w:rPr>
            </w:pPr>
            <w:r>
              <w:rPr>
                <w:rFonts w:hint="eastAsia" w:eastAsia="宋体"/>
                <w:sz w:val="21"/>
                <w:szCs w:val="21"/>
              </w:rPr>
              <w:t>教授级高级工程师</w:t>
            </w:r>
          </w:p>
        </w:tc>
        <w:tc>
          <w:tcPr>
            <w:tcW w:w="2331" w:type="dxa"/>
            <w:vAlign w:val="center"/>
          </w:tcPr>
          <w:p w14:paraId="734E5D62">
            <w:pPr>
              <w:jc w:val="center"/>
              <w:rPr>
                <w:rFonts w:hint="eastAsia" w:ascii="宋体" w:hAnsi="宋体" w:eastAsia="宋体" w:cs="Times New Roman"/>
                <w:sz w:val="24"/>
                <w:szCs w:val="24"/>
              </w:rPr>
            </w:pPr>
            <w:r>
              <w:rPr>
                <w:rFonts w:hint="eastAsia" w:eastAsia="宋体"/>
                <w:sz w:val="21"/>
                <w:szCs w:val="21"/>
              </w:rPr>
              <w:t>中国电力科学研究院有限公司南京分院</w:t>
            </w:r>
          </w:p>
        </w:tc>
        <w:tc>
          <w:tcPr>
            <w:tcW w:w="0" w:type="auto"/>
            <w:vAlign w:val="center"/>
          </w:tcPr>
          <w:p w14:paraId="20617EE0">
            <w:pPr>
              <w:jc w:val="center"/>
              <w:rPr>
                <w:rFonts w:hint="eastAsia" w:ascii="宋体" w:hAnsi="宋体" w:eastAsia="宋体" w:cs="Times New Roman"/>
                <w:sz w:val="24"/>
                <w:szCs w:val="24"/>
              </w:rPr>
            </w:pPr>
            <w:r>
              <w:rPr>
                <w:rFonts w:hint="eastAsia" w:eastAsia="宋体"/>
                <w:sz w:val="21"/>
                <w:szCs w:val="21"/>
              </w:rPr>
              <w:t>中国电力科学研究院有限公司南京分院</w:t>
            </w:r>
          </w:p>
        </w:tc>
      </w:tr>
      <w:tr w14:paraId="3B2C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4485FDC3">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1019" w:type="dxa"/>
            <w:vAlign w:val="center"/>
          </w:tcPr>
          <w:p w14:paraId="6364E80C">
            <w:pPr>
              <w:jc w:val="center"/>
              <w:rPr>
                <w:rFonts w:hint="eastAsia" w:ascii="宋体" w:hAnsi="宋体" w:eastAsia="宋体" w:cs="Times New Roman"/>
                <w:sz w:val="24"/>
                <w:szCs w:val="24"/>
              </w:rPr>
            </w:pPr>
            <w:r>
              <w:rPr>
                <w:rFonts w:hint="eastAsia" w:eastAsia="宋体"/>
                <w:sz w:val="21"/>
                <w:szCs w:val="21"/>
              </w:rPr>
              <w:t>丁明昌</w:t>
            </w:r>
          </w:p>
        </w:tc>
        <w:tc>
          <w:tcPr>
            <w:tcW w:w="1631" w:type="dxa"/>
            <w:vAlign w:val="center"/>
          </w:tcPr>
          <w:p w14:paraId="3126F5C4">
            <w:pPr>
              <w:jc w:val="center"/>
              <w:rPr>
                <w:rFonts w:hint="eastAsia" w:ascii="宋体" w:hAnsi="宋体" w:eastAsia="宋体" w:cs="Times New Roman"/>
                <w:sz w:val="24"/>
                <w:szCs w:val="24"/>
              </w:rPr>
            </w:pPr>
            <w:r>
              <w:rPr>
                <w:rFonts w:hint="eastAsia" w:eastAsia="宋体"/>
                <w:sz w:val="21"/>
                <w:szCs w:val="21"/>
              </w:rPr>
              <w:t>高级工程师</w:t>
            </w:r>
          </w:p>
        </w:tc>
        <w:tc>
          <w:tcPr>
            <w:tcW w:w="2331" w:type="dxa"/>
            <w:vAlign w:val="center"/>
          </w:tcPr>
          <w:p w14:paraId="3EAF3F23">
            <w:pPr>
              <w:jc w:val="center"/>
              <w:rPr>
                <w:rFonts w:hint="eastAsia" w:ascii="宋体" w:hAnsi="宋体" w:eastAsia="宋体" w:cs="Times New Roman"/>
                <w:sz w:val="24"/>
                <w:szCs w:val="24"/>
              </w:rPr>
            </w:pPr>
            <w:r>
              <w:rPr>
                <w:rFonts w:hint="eastAsia" w:eastAsia="宋体"/>
                <w:sz w:val="21"/>
                <w:szCs w:val="21"/>
              </w:rPr>
              <w:t>中国电力科学研究院有限公司南京分院</w:t>
            </w:r>
          </w:p>
        </w:tc>
        <w:tc>
          <w:tcPr>
            <w:tcW w:w="0" w:type="auto"/>
            <w:vAlign w:val="center"/>
          </w:tcPr>
          <w:p w14:paraId="641600DF">
            <w:pPr>
              <w:jc w:val="center"/>
              <w:rPr>
                <w:rFonts w:hint="eastAsia" w:ascii="宋体" w:hAnsi="宋体" w:eastAsia="宋体" w:cs="Times New Roman"/>
                <w:sz w:val="24"/>
                <w:szCs w:val="24"/>
              </w:rPr>
            </w:pPr>
            <w:r>
              <w:rPr>
                <w:rFonts w:hint="eastAsia" w:eastAsia="宋体"/>
                <w:sz w:val="21"/>
                <w:szCs w:val="21"/>
              </w:rPr>
              <w:t>中国电力科学研究院有限公司南京分院</w:t>
            </w:r>
          </w:p>
        </w:tc>
      </w:tr>
      <w:tr w14:paraId="55B0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5D74CAB3">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1019" w:type="dxa"/>
            <w:vAlign w:val="center"/>
          </w:tcPr>
          <w:p w14:paraId="64910DD1">
            <w:pPr>
              <w:jc w:val="center"/>
              <w:rPr>
                <w:rFonts w:hint="eastAsia" w:ascii="宋体" w:hAnsi="宋体" w:eastAsia="宋体" w:cs="Times New Roman"/>
                <w:sz w:val="24"/>
                <w:szCs w:val="24"/>
              </w:rPr>
            </w:pPr>
            <w:r>
              <w:rPr>
                <w:rFonts w:hint="eastAsia" w:eastAsia="宋体"/>
                <w:sz w:val="21"/>
                <w:szCs w:val="21"/>
              </w:rPr>
              <w:t>李源</w:t>
            </w:r>
          </w:p>
        </w:tc>
        <w:tc>
          <w:tcPr>
            <w:tcW w:w="1631" w:type="dxa"/>
            <w:vAlign w:val="center"/>
          </w:tcPr>
          <w:p w14:paraId="2BCBEE22">
            <w:pPr>
              <w:jc w:val="center"/>
              <w:rPr>
                <w:rFonts w:hint="eastAsia" w:ascii="宋体" w:hAnsi="宋体" w:eastAsia="宋体" w:cs="Times New Roman"/>
                <w:sz w:val="24"/>
                <w:szCs w:val="24"/>
              </w:rPr>
            </w:pPr>
            <w:r>
              <w:rPr>
                <w:rFonts w:hint="eastAsia" w:eastAsia="宋体"/>
                <w:sz w:val="21"/>
                <w:szCs w:val="21"/>
              </w:rPr>
              <w:t>中级工程师</w:t>
            </w:r>
          </w:p>
        </w:tc>
        <w:tc>
          <w:tcPr>
            <w:tcW w:w="2331" w:type="dxa"/>
            <w:vAlign w:val="center"/>
          </w:tcPr>
          <w:p w14:paraId="497B54B5">
            <w:pPr>
              <w:jc w:val="center"/>
              <w:rPr>
                <w:rFonts w:hint="eastAsia" w:ascii="宋体" w:hAnsi="宋体" w:eastAsia="宋体" w:cs="Times New Roman"/>
                <w:sz w:val="24"/>
                <w:szCs w:val="24"/>
              </w:rPr>
            </w:pPr>
            <w:r>
              <w:rPr>
                <w:rFonts w:hint="eastAsia" w:eastAsia="宋体"/>
                <w:sz w:val="21"/>
                <w:szCs w:val="21"/>
              </w:rPr>
              <w:t>中国电力科学研究院有限公司南京分院</w:t>
            </w:r>
          </w:p>
        </w:tc>
        <w:tc>
          <w:tcPr>
            <w:tcW w:w="0" w:type="auto"/>
            <w:vAlign w:val="center"/>
          </w:tcPr>
          <w:p w14:paraId="1B6D931A">
            <w:pPr>
              <w:jc w:val="center"/>
              <w:rPr>
                <w:rFonts w:hint="eastAsia" w:ascii="宋体" w:hAnsi="宋体" w:eastAsia="宋体" w:cs="Times New Roman"/>
                <w:sz w:val="24"/>
                <w:szCs w:val="24"/>
              </w:rPr>
            </w:pPr>
            <w:r>
              <w:rPr>
                <w:rFonts w:hint="eastAsia" w:eastAsia="宋体"/>
                <w:sz w:val="21"/>
                <w:szCs w:val="21"/>
              </w:rPr>
              <w:t>中国电力科学研究院有限公司南京分院</w:t>
            </w:r>
          </w:p>
        </w:tc>
      </w:tr>
    </w:tbl>
    <w:p w14:paraId="6DCE89AE">
      <w:pPr>
        <w:rPr>
          <w:rFonts w:ascii="Times New Roman" w:hAnsi="Times New Roman" w:eastAsia="宋体" w:cs="Times New Roman"/>
          <w:sz w:val="32"/>
          <w:szCs w:val="32"/>
        </w:rPr>
      </w:pPr>
    </w:p>
    <w:p w14:paraId="2DE53277">
      <w:pPr>
        <w:rPr>
          <w:rFonts w:ascii="Times New Roman" w:hAnsi="Times New Roman" w:eastAsia="宋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6CE4F"/>
    <w:multiLevelType w:val="singleLevel"/>
    <w:tmpl w:val="0E56CE4F"/>
    <w:lvl w:ilvl="0" w:tentative="0">
      <w:start w:val="1"/>
      <w:numFmt w:val="decimal"/>
      <w:suff w:val="nothing"/>
      <w:lvlText w:val="%1、"/>
      <w:lvlJc w:val="left"/>
    </w:lvl>
  </w:abstractNum>
  <w:abstractNum w:abstractNumId="1">
    <w:nsid w:val="6A80765E"/>
    <w:multiLevelType w:val="multilevel"/>
    <w:tmpl w:val="6A80765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E7"/>
    <w:rsid w:val="00003DB6"/>
    <w:rsid w:val="00014B4B"/>
    <w:rsid w:val="00064052"/>
    <w:rsid w:val="00071383"/>
    <w:rsid w:val="00072B21"/>
    <w:rsid w:val="000B163D"/>
    <w:rsid w:val="000B1C75"/>
    <w:rsid w:val="000D5BD0"/>
    <w:rsid w:val="000D6EF2"/>
    <w:rsid w:val="000D7EF0"/>
    <w:rsid w:val="000F72E2"/>
    <w:rsid w:val="00101293"/>
    <w:rsid w:val="0011286F"/>
    <w:rsid w:val="00117156"/>
    <w:rsid w:val="00134132"/>
    <w:rsid w:val="00136A3D"/>
    <w:rsid w:val="00167490"/>
    <w:rsid w:val="001A4FD9"/>
    <w:rsid w:val="001B2BCB"/>
    <w:rsid w:val="001F13E1"/>
    <w:rsid w:val="001F54BE"/>
    <w:rsid w:val="00215046"/>
    <w:rsid w:val="00226FA7"/>
    <w:rsid w:val="00233EA6"/>
    <w:rsid w:val="0026306A"/>
    <w:rsid w:val="00267CBD"/>
    <w:rsid w:val="00286A5D"/>
    <w:rsid w:val="002A7EDC"/>
    <w:rsid w:val="002B222A"/>
    <w:rsid w:val="002B77E7"/>
    <w:rsid w:val="002E2B62"/>
    <w:rsid w:val="002F5460"/>
    <w:rsid w:val="00302A77"/>
    <w:rsid w:val="00321902"/>
    <w:rsid w:val="00336F4B"/>
    <w:rsid w:val="003460D8"/>
    <w:rsid w:val="00351F3A"/>
    <w:rsid w:val="00365AE4"/>
    <w:rsid w:val="003851C8"/>
    <w:rsid w:val="003B0E8B"/>
    <w:rsid w:val="003B1E65"/>
    <w:rsid w:val="003D184E"/>
    <w:rsid w:val="003E3F96"/>
    <w:rsid w:val="003F07D1"/>
    <w:rsid w:val="003F27B7"/>
    <w:rsid w:val="003F5FB3"/>
    <w:rsid w:val="00407E50"/>
    <w:rsid w:val="004100C1"/>
    <w:rsid w:val="00427E5A"/>
    <w:rsid w:val="004460F2"/>
    <w:rsid w:val="004545B9"/>
    <w:rsid w:val="004656A2"/>
    <w:rsid w:val="00473501"/>
    <w:rsid w:val="004840BD"/>
    <w:rsid w:val="00496300"/>
    <w:rsid w:val="004B2FDB"/>
    <w:rsid w:val="004C54DE"/>
    <w:rsid w:val="004F4556"/>
    <w:rsid w:val="004F476A"/>
    <w:rsid w:val="00547B00"/>
    <w:rsid w:val="00552442"/>
    <w:rsid w:val="00557164"/>
    <w:rsid w:val="00572020"/>
    <w:rsid w:val="005F259A"/>
    <w:rsid w:val="006056D8"/>
    <w:rsid w:val="00624BEA"/>
    <w:rsid w:val="00630BD0"/>
    <w:rsid w:val="00650A3E"/>
    <w:rsid w:val="00663041"/>
    <w:rsid w:val="0068164C"/>
    <w:rsid w:val="006902B9"/>
    <w:rsid w:val="00693C50"/>
    <w:rsid w:val="006B4A0D"/>
    <w:rsid w:val="006C6DD1"/>
    <w:rsid w:val="006E2CA8"/>
    <w:rsid w:val="00727FEA"/>
    <w:rsid w:val="00733BDB"/>
    <w:rsid w:val="007451EF"/>
    <w:rsid w:val="007568A7"/>
    <w:rsid w:val="00781FFE"/>
    <w:rsid w:val="0078775D"/>
    <w:rsid w:val="0079270A"/>
    <w:rsid w:val="007A2714"/>
    <w:rsid w:val="007B2196"/>
    <w:rsid w:val="007F0918"/>
    <w:rsid w:val="007F31E4"/>
    <w:rsid w:val="00805E4F"/>
    <w:rsid w:val="00840E4D"/>
    <w:rsid w:val="0084638E"/>
    <w:rsid w:val="00850864"/>
    <w:rsid w:val="008577C4"/>
    <w:rsid w:val="00874113"/>
    <w:rsid w:val="00884801"/>
    <w:rsid w:val="00893543"/>
    <w:rsid w:val="008C5062"/>
    <w:rsid w:val="008C711E"/>
    <w:rsid w:val="008D0757"/>
    <w:rsid w:val="0090469D"/>
    <w:rsid w:val="00915F34"/>
    <w:rsid w:val="00926FAA"/>
    <w:rsid w:val="00934FAD"/>
    <w:rsid w:val="00955146"/>
    <w:rsid w:val="009579C8"/>
    <w:rsid w:val="00983EDE"/>
    <w:rsid w:val="00994B82"/>
    <w:rsid w:val="009972B0"/>
    <w:rsid w:val="009A2013"/>
    <w:rsid w:val="009A2F87"/>
    <w:rsid w:val="009B75BC"/>
    <w:rsid w:val="009F5ABF"/>
    <w:rsid w:val="00A16758"/>
    <w:rsid w:val="00A20CC6"/>
    <w:rsid w:val="00A349D6"/>
    <w:rsid w:val="00A521CF"/>
    <w:rsid w:val="00A81F10"/>
    <w:rsid w:val="00AF52C2"/>
    <w:rsid w:val="00B032FC"/>
    <w:rsid w:val="00B03A5A"/>
    <w:rsid w:val="00B3695D"/>
    <w:rsid w:val="00B37F59"/>
    <w:rsid w:val="00B41ECC"/>
    <w:rsid w:val="00B55B0E"/>
    <w:rsid w:val="00B8342E"/>
    <w:rsid w:val="00B86D8C"/>
    <w:rsid w:val="00BA48F9"/>
    <w:rsid w:val="00BA5DE7"/>
    <w:rsid w:val="00BD0F1D"/>
    <w:rsid w:val="00BD26A4"/>
    <w:rsid w:val="00BF0A7C"/>
    <w:rsid w:val="00C1232D"/>
    <w:rsid w:val="00C25EE3"/>
    <w:rsid w:val="00C30956"/>
    <w:rsid w:val="00C47658"/>
    <w:rsid w:val="00C535F2"/>
    <w:rsid w:val="00C70696"/>
    <w:rsid w:val="00C70FF6"/>
    <w:rsid w:val="00CA10ED"/>
    <w:rsid w:val="00CE19C2"/>
    <w:rsid w:val="00D15C1B"/>
    <w:rsid w:val="00D253DB"/>
    <w:rsid w:val="00D321ED"/>
    <w:rsid w:val="00D607E0"/>
    <w:rsid w:val="00D75E09"/>
    <w:rsid w:val="00D85416"/>
    <w:rsid w:val="00DA757A"/>
    <w:rsid w:val="00DB5542"/>
    <w:rsid w:val="00DD18EC"/>
    <w:rsid w:val="00DE7B10"/>
    <w:rsid w:val="00E0231C"/>
    <w:rsid w:val="00E263B3"/>
    <w:rsid w:val="00E2769C"/>
    <w:rsid w:val="00E421C2"/>
    <w:rsid w:val="00E51198"/>
    <w:rsid w:val="00E86333"/>
    <w:rsid w:val="00E9078B"/>
    <w:rsid w:val="00EC5811"/>
    <w:rsid w:val="00ED7912"/>
    <w:rsid w:val="00F213D0"/>
    <w:rsid w:val="00F36274"/>
    <w:rsid w:val="00F7234A"/>
    <w:rsid w:val="00F77E9D"/>
    <w:rsid w:val="00F96C05"/>
    <w:rsid w:val="00FB2F4A"/>
    <w:rsid w:val="00FD4A5D"/>
    <w:rsid w:val="00FE0E8D"/>
    <w:rsid w:val="00FE136C"/>
    <w:rsid w:val="00FE4230"/>
    <w:rsid w:val="00FE5156"/>
    <w:rsid w:val="0E1C2936"/>
    <w:rsid w:val="11ED1C8A"/>
    <w:rsid w:val="1DB020DA"/>
    <w:rsid w:val="287D1107"/>
    <w:rsid w:val="5BD448EE"/>
    <w:rsid w:val="798F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3"/>
    <w:semiHidden/>
    <w:unhideWhenUsed/>
    <w:qFormat/>
    <w:uiPriority w:val="99"/>
    <w:pPr>
      <w:spacing w:after="120"/>
    </w:pPr>
    <w:rPr>
      <w:rFonts w:ascii="Calibri" w:hAnsi="Calibri" w:eastAsia="宋体" w:cs="Times New Roman"/>
    </w:rPr>
  </w:style>
  <w:style w:type="paragraph" w:styleId="12">
    <w:name w:val="Body Text Indent"/>
    <w:basedOn w:val="1"/>
    <w:semiHidden/>
    <w:qFormat/>
    <w:uiPriority w:val="0"/>
    <w:pPr>
      <w:ind w:firstLine="660"/>
    </w:pPr>
    <w:rPr>
      <w:rFonts w:eastAsia="仿宋_GB2312"/>
      <w:sz w:val="32"/>
    </w:r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qFormat/>
    <w:uiPriority w:val="99"/>
    <w:pPr>
      <w:spacing w:before="100" w:beforeAutospacing="1" w:after="100" w:afterAutospacing="1"/>
      <w:jc w:val="left"/>
    </w:pPr>
    <w:rPr>
      <w:rFonts w:cs="Times New Roman"/>
      <w:kern w:val="0"/>
      <w:sz w:val="24"/>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Body Text First Indent 2"/>
    <w:basedOn w:val="12"/>
    <w:unhideWhenUsed/>
    <w:qFormat/>
    <w:uiPriority w:val="0"/>
    <w:pPr>
      <w:ind w:firstLine="42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1"/>
    <w:link w:val="5"/>
    <w:semiHidden/>
    <w:qFormat/>
    <w:uiPriority w:val="9"/>
    <w:rPr>
      <w:rFonts w:cstheme="majorBidi"/>
      <w:color w:val="104862" w:themeColor="accent1" w:themeShade="BF"/>
      <w:sz w:val="28"/>
      <w:szCs w:val="28"/>
    </w:rPr>
  </w:style>
  <w:style w:type="character" w:customStyle="1" w:styleId="26">
    <w:name w:val="标题 5 字符"/>
    <w:basedOn w:val="21"/>
    <w:link w:val="6"/>
    <w:semiHidden/>
    <w:qFormat/>
    <w:uiPriority w:val="9"/>
    <w:rPr>
      <w:rFonts w:cstheme="majorBidi"/>
      <w:color w:val="104862" w:themeColor="accent1" w:themeShade="BF"/>
      <w:sz w:val="24"/>
      <w:szCs w:val="24"/>
    </w:rPr>
  </w:style>
  <w:style w:type="character" w:customStyle="1" w:styleId="27">
    <w:name w:val="标题 6 字符"/>
    <w:basedOn w:val="21"/>
    <w:link w:val="7"/>
    <w:semiHidden/>
    <w:qFormat/>
    <w:uiPriority w:val="9"/>
    <w:rPr>
      <w:rFonts w:cstheme="majorBidi"/>
      <w:b/>
      <w:bCs/>
      <w:color w:val="104862" w:themeColor="accent1" w:themeShade="BF"/>
    </w:rPr>
  </w:style>
  <w:style w:type="character" w:customStyle="1" w:styleId="28">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1"/>
    <w:link w:val="37"/>
    <w:qFormat/>
    <w:uiPriority w:val="30"/>
    <w:rPr>
      <w:i/>
      <w:iCs/>
      <w:color w:val="104862" w:themeColor="accent1" w:themeShade="BF"/>
    </w:rPr>
  </w:style>
  <w:style w:type="character" w:customStyle="1" w:styleId="39">
    <w:name w:val="明显参考1"/>
    <w:basedOn w:val="21"/>
    <w:qFormat/>
    <w:uiPriority w:val="32"/>
    <w:rPr>
      <w:b/>
      <w:bCs/>
      <w:smallCaps/>
      <w:color w:val="104862" w:themeColor="accent1" w:themeShade="BF"/>
      <w:spacing w:val="5"/>
    </w:rPr>
  </w:style>
  <w:style w:type="character" w:customStyle="1" w:styleId="40">
    <w:name w:val="页眉 字符"/>
    <w:basedOn w:val="21"/>
    <w:link w:val="14"/>
    <w:qFormat/>
    <w:uiPriority w:val="99"/>
    <w:rPr>
      <w:sz w:val="18"/>
      <w:szCs w:val="18"/>
    </w:rPr>
  </w:style>
  <w:style w:type="character" w:customStyle="1" w:styleId="41">
    <w:name w:val="页脚 字符"/>
    <w:basedOn w:val="21"/>
    <w:link w:val="13"/>
    <w:qFormat/>
    <w:uiPriority w:val="99"/>
    <w:rPr>
      <w:sz w:val="18"/>
      <w:szCs w:val="18"/>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正文文本 字符"/>
    <w:basedOn w:val="21"/>
    <w:link w:val="11"/>
    <w:semiHidden/>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1100</Words>
  <Characters>1158</Characters>
  <Lines>8</Lines>
  <Paragraphs>2</Paragraphs>
  <TotalTime>0</TotalTime>
  <ScaleCrop>false</ScaleCrop>
  <LinksUpToDate>false</LinksUpToDate>
  <CharactersWithSpaces>1175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2025-10-15T08:24:00Z</dcterms:created>
  <dc:creator>liuzhichao1028@outlook.com</dc:creator>
  <cp:lastModifiedBy>sleepy</cp:lastModifiedBy>
  <cp:lastPrinted>2025-04-21T02:08:00Z</cp:lastPrinted>
  <dcterms:modified xsi:type="dcterms:W3CDTF">2025-11-03T08:27:07Z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eyJoZGlkIjoiZWIyYzZmNDVkNTc0MTkyMTNkYjg5MDU4MmRhZDE3MTAiLCJ1c2VySWQiOiI4NTU2NjM3NzIifQ==</vt:lpwstr>
  </property>
  <property fmtid="{D5CDD505-2E9C-101B-9397-08002B2CF9AE}" pid="3" name="KSOProductBuildVer">
    <vt:lpwstr>2052-12.1.0.23125</vt:lpwstr>
  </property>
  <property fmtid="{D5CDD505-2E9C-101B-9397-08002B2CF9AE}" pid="4" name="ICV">
    <vt:lpwstr>F3047A6BFA004E2D8D448A658F14C306_13</vt:lpwstr>
  </property>
</Properties>
</file>