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sz w:val="32"/>
          <w:szCs w:val="32"/>
        </w:rPr>
      </w:pPr>
      <w:bookmarkStart w:id="4" w:name="_GoBack"/>
      <w:bookmarkEnd w:id="4"/>
      <w:r>
        <w:rPr>
          <w:rFonts w:hint="eastAsia" w:ascii="黑体" w:hAnsi="黑体" w:eastAsia="黑体" w:cs="黑体"/>
          <w:sz w:val="32"/>
          <w:szCs w:val="32"/>
        </w:rPr>
        <w:t>（一）项目名称</w:t>
      </w:r>
    </w:p>
    <w:p>
      <w:pPr>
        <w:adjustRightInd w:val="0"/>
        <w:snapToGrid w:val="0"/>
        <w:spacing w:line="560" w:lineRule="exact"/>
        <w:rPr>
          <w:rFonts w:ascii="黑体" w:hAnsi="黑体" w:eastAsia="黑体" w:cs="黑体"/>
          <w:bCs/>
          <w:sz w:val="32"/>
          <w:szCs w:val="32"/>
        </w:rPr>
      </w:pPr>
      <w:r>
        <w:rPr>
          <w:rFonts w:hint="eastAsia" w:ascii="仿宋_GB2312" w:hAnsi="仿宋" w:eastAsia="仿宋_GB2312" w:cs="方正小标宋简体"/>
          <w:bCs/>
          <w:sz w:val="32"/>
          <w:szCs w:val="32"/>
        </w:rPr>
        <w:t>重大心血管疾病精准介入诊疗关键技术创新</w:t>
      </w: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（二）提名者</w:t>
      </w: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浙江省</w:t>
      </w: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（三）主要知识产权和标准规范等目录</w:t>
      </w:r>
      <w:r>
        <w:rPr>
          <w:rFonts w:hint="eastAsia" w:ascii="黑体" w:hAnsi="黑体" w:eastAsia="黑体" w:cs="黑体"/>
          <w:color w:val="000000"/>
          <w:w w:val="90"/>
          <w:sz w:val="32"/>
          <w:szCs w:val="32"/>
        </w:rPr>
        <w:t>（不超过10件）</w:t>
      </w:r>
    </w:p>
    <w:tbl>
      <w:tblPr>
        <w:tblStyle w:val="9"/>
        <w:tblW w:w="885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9"/>
        <w:gridCol w:w="2268"/>
        <w:gridCol w:w="425"/>
        <w:gridCol w:w="993"/>
        <w:gridCol w:w="708"/>
        <w:gridCol w:w="805"/>
        <w:gridCol w:w="613"/>
        <w:gridCol w:w="1559"/>
        <w:gridCol w:w="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699" w:type="dxa"/>
            <w:vAlign w:val="center"/>
          </w:tcPr>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知识产权(标准)</w:t>
            </w:r>
          </w:p>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类别</w:t>
            </w:r>
          </w:p>
        </w:tc>
        <w:tc>
          <w:tcPr>
            <w:tcW w:w="2268" w:type="dxa"/>
            <w:vAlign w:val="center"/>
          </w:tcPr>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知识产权(标准)</w:t>
            </w:r>
          </w:p>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具体名称</w:t>
            </w:r>
          </w:p>
        </w:tc>
        <w:tc>
          <w:tcPr>
            <w:tcW w:w="425" w:type="dxa"/>
            <w:vAlign w:val="center"/>
          </w:tcPr>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国家</w:t>
            </w:r>
          </w:p>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(地区)</w:t>
            </w:r>
          </w:p>
        </w:tc>
        <w:tc>
          <w:tcPr>
            <w:tcW w:w="993" w:type="dxa"/>
            <w:vAlign w:val="center"/>
          </w:tcPr>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b/>
                <w:bCs/>
                <w:color w:val="000000"/>
                <w:sz w:val="21"/>
                <w:szCs w:val="21"/>
              </w:rPr>
              <w:t>授权号</w:t>
            </w:r>
          </w:p>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(标准编号)</w:t>
            </w:r>
          </w:p>
        </w:tc>
        <w:tc>
          <w:tcPr>
            <w:tcW w:w="708" w:type="dxa"/>
            <w:vAlign w:val="center"/>
          </w:tcPr>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b/>
                <w:bCs/>
                <w:color w:val="000000"/>
                <w:sz w:val="21"/>
                <w:szCs w:val="21"/>
              </w:rPr>
              <w:t>授权</w:t>
            </w:r>
            <w:r>
              <w:rPr>
                <w:rFonts w:ascii="Times New Roman"/>
                <w:color w:val="000000"/>
                <w:sz w:val="21"/>
                <w:szCs w:val="21"/>
              </w:rPr>
              <w:t>(标准发布)日期</w:t>
            </w:r>
          </w:p>
        </w:tc>
        <w:tc>
          <w:tcPr>
            <w:tcW w:w="805" w:type="dxa"/>
            <w:vAlign w:val="center"/>
          </w:tcPr>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证书编号</w:t>
            </w:r>
            <w:r>
              <w:rPr>
                <w:rFonts w:ascii="Times New Roman"/>
                <w:color w:val="000000"/>
                <w:sz w:val="21"/>
                <w:szCs w:val="21"/>
              </w:rPr>
              <w:br w:type="textWrapping"/>
            </w:r>
            <w:r>
              <w:rPr>
                <w:rFonts w:ascii="Times New Roman"/>
                <w:color w:val="000000"/>
                <w:sz w:val="21"/>
                <w:szCs w:val="21"/>
              </w:rPr>
              <w:t>(标准批准发布部门)</w:t>
            </w:r>
          </w:p>
        </w:tc>
        <w:tc>
          <w:tcPr>
            <w:tcW w:w="613" w:type="dxa"/>
            <w:vAlign w:val="center"/>
          </w:tcPr>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权利人(标准起草单位)</w:t>
            </w:r>
          </w:p>
        </w:tc>
        <w:tc>
          <w:tcPr>
            <w:tcW w:w="1559" w:type="dxa"/>
            <w:vAlign w:val="center"/>
          </w:tcPr>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发明人(标准起草人)</w:t>
            </w:r>
          </w:p>
        </w:tc>
        <w:tc>
          <w:tcPr>
            <w:tcW w:w="780" w:type="dxa"/>
            <w:vAlign w:val="center"/>
          </w:tcPr>
          <w:p>
            <w:pPr>
              <w:pStyle w:val="4"/>
              <w:adjustRightInd w:val="0"/>
              <w:snapToGrid w:val="0"/>
              <w:spacing w:line="320" w:lineRule="exact"/>
              <w:ind w:firstLine="0" w:firstLineChars="0"/>
              <w:jc w:val="center"/>
              <w:textAlignment w:val="center"/>
              <w:rPr>
                <w:rFonts w:ascii="Times New Roman"/>
                <w:color w:val="000000"/>
                <w:sz w:val="21"/>
                <w:szCs w:val="21"/>
              </w:rPr>
            </w:pPr>
            <w:r>
              <w:rPr>
                <w:rFonts w:ascii="Times New Roman"/>
                <w:color w:val="000000"/>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Fractional Flow Reserve or Intravascular Ultrasonography to Guide PCI</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美国</w:t>
            </w:r>
          </w:p>
        </w:tc>
        <w:tc>
          <w:tcPr>
            <w:tcW w:w="993"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b/>
                <w:bCs/>
                <w:i/>
                <w:iCs/>
                <w:color w:val="000000"/>
                <w:sz w:val="21"/>
                <w:szCs w:val="21"/>
                <w:shd w:val="clear" w:color="auto" w:fill="FFFFFF"/>
              </w:rPr>
              <w:t>N Engl J Med</w:t>
            </w:r>
            <w:r>
              <w:rPr>
                <w:rFonts w:ascii="Times New Roman"/>
                <w:color w:val="000000"/>
                <w:sz w:val="21"/>
                <w:szCs w:val="21"/>
                <w:shd w:val="clear" w:color="auto" w:fill="FFFFFF"/>
              </w:rPr>
              <w:t>. 2022 Sep 1;387(9):779-789. </w:t>
            </w: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2022.09.01</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Koo BK</w:t>
            </w:r>
            <w:bookmarkStart w:id="0" w:name="_Hlk115285911"/>
            <w:r>
              <w:rPr>
                <w:rFonts w:ascii="Times New Roman"/>
                <w:color w:val="000000"/>
                <w:sz w:val="21"/>
                <w:szCs w:val="21"/>
                <w:shd w:val="clear" w:color="auto" w:fill="FFFFFF"/>
                <w:vertAlign w:val="superscript"/>
              </w:rPr>
              <w:t>#</w:t>
            </w:r>
            <w:bookmarkEnd w:id="0"/>
            <w:r>
              <w:rPr>
                <w:rFonts w:ascii="Times New Roman"/>
                <w:color w:val="000000"/>
                <w:sz w:val="21"/>
                <w:szCs w:val="21"/>
                <w:shd w:val="clear" w:color="auto" w:fill="FFFFFF"/>
              </w:rPr>
              <w:t>, Hu X</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Kang J</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Zhang J, Jiang J, Hahn JY, Nam CW, Doh JH, Lee BK, Kim W, Huang J, Jiang F, Zhou H, Chen P, Tang L, Jiang W, Chen X, He W, Ahn SG, Yoon MH, Kim U, Lee JM, Hwang D, Ki YJ, Shin ES, Kim HS, Tahk SJ</w:t>
            </w:r>
            <w:r>
              <w:rPr>
                <w:rFonts w:ascii="Times New Roman"/>
                <w:color w:val="000000"/>
                <w:sz w:val="21"/>
                <w:szCs w:val="21"/>
                <w:vertAlign w:val="superscript"/>
              </w:rPr>
              <w:t>*</w:t>
            </w:r>
            <w:r>
              <w:rPr>
                <w:rFonts w:ascii="Times New Roman"/>
                <w:color w:val="000000"/>
                <w:sz w:val="21"/>
                <w:szCs w:val="21"/>
                <w:shd w:val="clear" w:color="auto" w:fill="FFFFFF"/>
              </w:rPr>
              <w:t>,</w:t>
            </w:r>
            <w:r>
              <w:rPr>
                <w:rFonts w:ascii="Times New Roman"/>
                <w:b/>
                <w:bCs/>
                <w:color w:val="000000"/>
                <w:sz w:val="21"/>
                <w:szCs w:val="21"/>
                <w:shd w:val="clear" w:color="auto" w:fill="FFFFFF"/>
              </w:rPr>
              <w:t xml:space="preserve"> Wang J</w:t>
            </w:r>
            <w:r>
              <w:rPr>
                <w:rFonts w:ascii="Times New Roman"/>
                <w:color w:val="000000"/>
                <w:sz w:val="21"/>
                <w:szCs w:val="21"/>
                <w:vertAlign w:val="superscript"/>
              </w:rPr>
              <w:t>*</w:t>
            </w:r>
            <w:r>
              <w:rPr>
                <w:rFonts w:ascii="Times New Roman"/>
                <w:color w:val="000000"/>
                <w:sz w:val="21"/>
                <w:szCs w:val="21"/>
                <w:shd w:val="clear" w:color="auto" w:fill="FFFFFF"/>
              </w:rPr>
              <w:t>; FLAVOUR Investigators.</w:t>
            </w: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Angiography-derived fractional flow reserve versus intravascular ultrasound to guide percutaneous coronary intervention in patients with coronary artery disease (FLAVOUR II): a multicentre, randomised, non-inferiority trial.</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英国</w:t>
            </w:r>
          </w:p>
        </w:tc>
        <w:tc>
          <w:tcPr>
            <w:tcW w:w="993" w:type="dxa"/>
          </w:tcPr>
          <w:p>
            <w:pPr>
              <w:pStyle w:val="21"/>
              <w:widowControl/>
              <w:autoSpaceDE w:val="0"/>
              <w:autoSpaceDN w:val="0"/>
              <w:adjustRightInd w:val="0"/>
              <w:snapToGrid w:val="0"/>
              <w:spacing w:line="360" w:lineRule="auto"/>
              <w:ind w:firstLine="0" w:firstLineChars="0"/>
              <w:rPr>
                <w:rFonts w:ascii="Times New Roman" w:hAnsi="Times New Roman" w:eastAsia="宋体"/>
                <w:color w:val="000000"/>
                <w:sz w:val="21"/>
                <w:szCs w:val="21"/>
              </w:rPr>
            </w:pPr>
            <w:r>
              <w:rPr>
                <w:rFonts w:ascii="Times New Roman" w:hAnsi="Times New Roman" w:eastAsia="宋体"/>
                <w:b/>
                <w:bCs/>
                <w:i/>
                <w:iCs/>
                <w:color w:val="000000"/>
                <w:sz w:val="21"/>
                <w:szCs w:val="21"/>
                <w:shd w:val="clear" w:color="auto" w:fill="FFFFFF"/>
              </w:rPr>
              <w:t>Lancet</w:t>
            </w:r>
            <w:r>
              <w:rPr>
                <w:rFonts w:ascii="Times New Roman" w:hAnsi="Times New Roman" w:eastAsia="宋体"/>
                <w:color w:val="000000"/>
                <w:sz w:val="21"/>
                <w:szCs w:val="21"/>
                <w:shd w:val="clear" w:color="auto" w:fill="FFFFFF"/>
              </w:rPr>
              <w:t>. 2025 Apr 26;405(10488):1491-1504.</w:t>
            </w:r>
          </w:p>
          <w:p>
            <w:pPr>
              <w:pStyle w:val="4"/>
              <w:adjustRightInd w:val="0"/>
              <w:snapToGrid w:val="0"/>
              <w:spacing w:line="390" w:lineRule="exact"/>
              <w:ind w:firstLine="0" w:firstLineChars="0"/>
              <w:jc w:val="left"/>
              <w:rPr>
                <w:rFonts w:ascii="Times New Roman"/>
                <w:color w:val="000000"/>
                <w:sz w:val="21"/>
                <w:szCs w:val="21"/>
              </w:rPr>
            </w:pP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2025.04.26</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Hu X</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Zhang J</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Yang S</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Jiang J, Peng X, Lu D, Pan Y, Guo L, Li J, He W, Zhou H, Pu J, Huang J, Jiang F, Liu Q, Song D, Lu L, Cheng Z, Yang B, Ma J, Chen P, Li S, Meng Z, Tang L, Fan Y, Shin ES, Tu S, Nam CW, Fearon WF, Koo BK</w:t>
            </w:r>
            <w:r>
              <w:rPr>
                <w:rFonts w:ascii="Times New Roman"/>
                <w:color w:val="000000"/>
                <w:sz w:val="21"/>
                <w:szCs w:val="21"/>
                <w:vertAlign w:val="superscript"/>
              </w:rPr>
              <w:t>*</w:t>
            </w:r>
            <w:r>
              <w:rPr>
                <w:rFonts w:ascii="Times New Roman"/>
                <w:color w:val="000000"/>
                <w:sz w:val="21"/>
                <w:szCs w:val="21"/>
                <w:shd w:val="clear" w:color="auto" w:fill="FFFFFF"/>
              </w:rPr>
              <w:t xml:space="preserve">, </w:t>
            </w:r>
            <w:r>
              <w:rPr>
                <w:rFonts w:ascii="Times New Roman"/>
                <w:b/>
                <w:bCs/>
                <w:color w:val="000000"/>
                <w:sz w:val="21"/>
                <w:szCs w:val="21"/>
                <w:shd w:val="clear" w:color="auto" w:fill="FFFFFF"/>
              </w:rPr>
              <w:t>Wang J</w:t>
            </w:r>
            <w:r>
              <w:rPr>
                <w:rFonts w:ascii="Times New Roman"/>
                <w:color w:val="000000"/>
                <w:sz w:val="21"/>
                <w:szCs w:val="21"/>
                <w:vertAlign w:val="superscript"/>
              </w:rPr>
              <w:t>*</w:t>
            </w:r>
            <w:r>
              <w:rPr>
                <w:rFonts w:ascii="Times New Roman"/>
                <w:color w:val="000000"/>
                <w:sz w:val="21"/>
                <w:szCs w:val="21"/>
                <w:shd w:val="clear" w:color="auto" w:fill="FFFFFF"/>
              </w:rPr>
              <w:t>; FLAVOUR II study group.</w:t>
            </w: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pPr>
              <w:widowControl/>
              <w:jc w:val="left"/>
              <w:rPr>
                <w:color w:val="000000"/>
                <w:kern w:val="0"/>
                <w:szCs w:val="21"/>
              </w:rPr>
            </w:pPr>
            <w:r>
              <w:rPr>
                <w:color w:val="000000"/>
                <w:szCs w:val="21"/>
              </w:rPr>
              <w:t>发明专利</w:t>
            </w:r>
          </w:p>
          <w:p>
            <w:pPr>
              <w:pStyle w:val="4"/>
              <w:adjustRightInd w:val="0"/>
              <w:snapToGrid w:val="0"/>
              <w:spacing w:line="390" w:lineRule="exact"/>
              <w:ind w:firstLine="0" w:firstLineChars="0"/>
              <w:jc w:val="left"/>
              <w:rPr>
                <w:rFonts w:ascii="Times New Roman"/>
                <w:color w:val="000000"/>
                <w:sz w:val="21"/>
                <w:szCs w:val="21"/>
              </w:rPr>
            </w:pP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一种介入心脏瓣膜可重复定位的输送装置</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中国</w:t>
            </w:r>
          </w:p>
        </w:tc>
        <w:tc>
          <w:tcPr>
            <w:tcW w:w="993"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ZL 2018 1 0509256.3</w:t>
            </w: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2023.09.22</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第6352294号</w:t>
            </w:r>
          </w:p>
        </w:tc>
        <w:tc>
          <w:tcPr>
            <w:tcW w:w="613"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杭州启明医疗器械股份有限公司</w:t>
            </w:r>
          </w:p>
        </w:tc>
        <w:tc>
          <w:tcPr>
            <w:tcW w:w="155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b/>
                <w:bCs/>
                <w:color w:val="000000"/>
                <w:sz w:val="21"/>
                <w:szCs w:val="21"/>
              </w:rPr>
              <w:t>王建安</w:t>
            </w:r>
            <w:r>
              <w:rPr>
                <w:rFonts w:ascii="Times New Roman"/>
                <w:color w:val="000000"/>
                <w:sz w:val="21"/>
                <w:szCs w:val="21"/>
              </w:rPr>
              <w:t>，张志飞，曾敏，吴世广</w:t>
            </w: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Extracellular Matrix Disorganization Caused by ADAMTS16 Deficiency Leads to Bicuspid Aortic Valve With Raphe Formation</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美国</w:t>
            </w:r>
          </w:p>
        </w:tc>
        <w:tc>
          <w:tcPr>
            <w:tcW w:w="993" w:type="dxa"/>
          </w:tcPr>
          <w:p>
            <w:pPr>
              <w:pStyle w:val="21"/>
              <w:widowControl/>
              <w:autoSpaceDE w:val="0"/>
              <w:autoSpaceDN w:val="0"/>
              <w:adjustRightInd w:val="0"/>
              <w:snapToGrid w:val="0"/>
              <w:spacing w:line="360" w:lineRule="auto"/>
              <w:ind w:firstLine="0" w:firstLineChars="0"/>
              <w:rPr>
                <w:rFonts w:ascii="Times New Roman" w:hAnsi="Times New Roman" w:eastAsia="宋体"/>
                <w:color w:val="000000"/>
                <w:sz w:val="21"/>
                <w:szCs w:val="21"/>
                <w:shd w:val="clear" w:color="auto" w:fill="FFFFFF"/>
              </w:rPr>
            </w:pPr>
            <w:bookmarkStart w:id="1" w:name="OLE_LINK18"/>
            <w:r>
              <w:rPr>
                <w:rFonts w:ascii="Times New Roman" w:hAnsi="Times New Roman" w:eastAsia="宋体"/>
                <w:b/>
                <w:bCs/>
                <w:i/>
                <w:iCs/>
                <w:color w:val="000000"/>
                <w:sz w:val="21"/>
                <w:szCs w:val="21"/>
                <w:shd w:val="clear" w:color="auto" w:fill="FFFFFF"/>
              </w:rPr>
              <w:t>Circulation</w:t>
            </w:r>
            <w:r>
              <w:rPr>
                <w:rFonts w:ascii="Times New Roman" w:hAnsi="Times New Roman" w:eastAsia="宋体"/>
                <w:color w:val="000000"/>
                <w:sz w:val="21"/>
                <w:szCs w:val="21"/>
                <w:shd w:val="clear" w:color="auto" w:fill="FFFFFF"/>
              </w:rPr>
              <w:t>.2024;149(8):605-626.</w:t>
            </w:r>
            <w:bookmarkEnd w:id="1"/>
          </w:p>
          <w:p>
            <w:pPr>
              <w:pStyle w:val="4"/>
              <w:adjustRightInd w:val="0"/>
              <w:snapToGrid w:val="0"/>
              <w:spacing w:line="390" w:lineRule="exact"/>
              <w:ind w:firstLine="0" w:firstLineChars="0"/>
              <w:jc w:val="left"/>
              <w:rPr>
                <w:rFonts w:ascii="Times New Roman"/>
                <w:color w:val="000000"/>
                <w:sz w:val="21"/>
                <w:szCs w:val="21"/>
              </w:rPr>
            </w:pP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2024.02.20</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Lin Y</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Yang Q</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Lin X</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Liu X</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Qian Y, Xu D, Cao N, Han X, Zhu Y, Hu W, He X, Yu Z, Kong X, Zhu L, Zhong Z, Liu K, Zhou B, Wang Y, Peng J, Zhu W</w:t>
            </w:r>
            <w:r>
              <w:rPr>
                <w:rFonts w:ascii="Times New Roman"/>
                <w:color w:val="000000"/>
                <w:sz w:val="21"/>
                <w:szCs w:val="21"/>
                <w:shd w:val="clear" w:color="auto" w:fill="FFFFFF"/>
                <w:vertAlign w:val="superscript"/>
              </w:rPr>
              <w:t>*</w:t>
            </w:r>
            <w:r>
              <w:rPr>
                <w:rFonts w:ascii="Times New Roman"/>
                <w:color w:val="000000"/>
                <w:sz w:val="21"/>
                <w:szCs w:val="21"/>
                <w:shd w:val="clear" w:color="auto" w:fill="FFFFFF"/>
              </w:rPr>
              <w:t xml:space="preserve">, </w:t>
            </w:r>
            <w:r>
              <w:rPr>
                <w:rFonts w:ascii="Times New Roman"/>
                <w:b/>
                <w:bCs/>
                <w:color w:val="000000"/>
                <w:sz w:val="21"/>
                <w:szCs w:val="21"/>
                <w:shd w:val="clear" w:color="auto" w:fill="FFFFFF"/>
              </w:rPr>
              <w:t>Wang J</w:t>
            </w:r>
            <w:r>
              <w:rPr>
                <w:rFonts w:ascii="Times New Roman"/>
                <w:b/>
                <w:bCs/>
                <w:color w:val="000000"/>
                <w:sz w:val="21"/>
                <w:szCs w:val="21"/>
                <w:shd w:val="clear" w:color="auto" w:fill="FFFFFF"/>
                <w:vertAlign w:val="superscript"/>
              </w:rPr>
              <w:t>*</w:t>
            </w:r>
            <w:r>
              <w:rPr>
                <w:rFonts w:ascii="Times New Roman"/>
                <w:color w:val="000000"/>
                <w:sz w:val="21"/>
                <w:szCs w:val="21"/>
                <w:shd w:val="clear" w:color="auto" w:fill="FFFFFF"/>
              </w:rPr>
              <w:t>.</w:t>
            </w: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699"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Wearable device-measured moderate to vigorous physical activity and risk of degenerative aortic valve stenosis.</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英国</w:t>
            </w:r>
          </w:p>
        </w:tc>
        <w:tc>
          <w:tcPr>
            <w:tcW w:w="993" w:type="dxa"/>
          </w:tcPr>
          <w:p>
            <w:pPr>
              <w:pStyle w:val="21"/>
              <w:widowControl/>
              <w:autoSpaceDE w:val="0"/>
              <w:autoSpaceDN w:val="0"/>
              <w:adjustRightInd w:val="0"/>
              <w:snapToGrid w:val="0"/>
              <w:spacing w:line="360" w:lineRule="auto"/>
              <w:ind w:firstLine="0" w:firstLineChars="0"/>
              <w:rPr>
                <w:rFonts w:ascii="Times New Roman" w:hAnsi="Times New Roman" w:eastAsia="宋体"/>
                <w:color w:val="000000"/>
                <w:sz w:val="21"/>
                <w:szCs w:val="21"/>
                <w:shd w:val="clear" w:color="auto" w:fill="FFFFFF"/>
              </w:rPr>
            </w:pPr>
            <w:r>
              <w:rPr>
                <w:rFonts w:ascii="Times New Roman" w:hAnsi="Times New Roman" w:eastAsia="宋体"/>
                <w:b/>
                <w:bCs/>
                <w:i/>
                <w:iCs/>
                <w:color w:val="000000"/>
                <w:sz w:val="21"/>
                <w:szCs w:val="21"/>
                <w:shd w:val="clear" w:color="auto" w:fill="FFFFFF"/>
              </w:rPr>
              <w:t>Eur Heart J</w:t>
            </w:r>
            <w:r>
              <w:rPr>
                <w:rFonts w:ascii="Times New Roman" w:hAnsi="Times New Roman" w:eastAsia="宋体"/>
                <w:color w:val="000000"/>
                <w:sz w:val="21"/>
                <w:szCs w:val="21"/>
                <w:shd w:val="clear" w:color="auto" w:fill="FFFFFF"/>
              </w:rPr>
              <w:t>. 2025 Feb 14;46(7):649-664. </w:t>
            </w:r>
          </w:p>
          <w:p>
            <w:pPr>
              <w:pStyle w:val="4"/>
              <w:adjustRightInd w:val="0"/>
              <w:snapToGrid w:val="0"/>
              <w:spacing w:line="390" w:lineRule="exact"/>
              <w:ind w:firstLine="0" w:firstLineChars="0"/>
              <w:jc w:val="left"/>
              <w:rPr>
                <w:rFonts w:ascii="Times New Roman"/>
                <w:color w:val="000000"/>
                <w:sz w:val="21"/>
                <w:szCs w:val="21"/>
              </w:rPr>
            </w:pP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2025.02.14</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shd w:val="clear" w:color="auto" w:fill="FFFFFF"/>
              </w:rPr>
              <w:t>Li Z, Cheng S, Guo B, Ding L, Liang Y, Shen Y, Li J, Hu Y, Long T, Guo X, Ge J, Gao R, Pibarot P, Zhang B</w:t>
            </w:r>
            <w:r>
              <w:rPr>
                <w:rFonts w:ascii="Times New Roman"/>
                <w:b/>
                <w:bCs/>
                <w:color w:val="000000"/>
                <w:sz w:val="21"/>
                <w:szCs w:val="21"/>
                <w:vertAlign w:val="superscript"/>
              </w:rPr>
              <w:t>*</w:t>
            </w:r>
            <w:r>
              <w:rPr>
                <w:rFonts w:ascii="Times New Roman"/>
                <w:color w:val="000000"/>
                <w:sz w:val="21"/>
                <w:szCs w:val="21"/>
                <w:shd w:val="clear" w:color="auto" w:fill="FFFFFF"/>
              </w:rPr>
              <w:t>, Xu H</w:t>
            </w:r>
            <w:r>
              <w:rPr>
                <w:rFonts w:ascii="Times New Roman"/>
                <w:b/>
                <w:bCs/>
                <w:color w:val="000000"/>
                <w:sz w:val="21"/>
                <w:szCs w:val="21"/>
                <w:vertAlign w:val="superscript"/>
              </w:rPr>
              <w:t>*</w:t>
            </w:r>
            <w:r>
              <w:rPr>
                <w:rFonts w:ascii="Times New Roman"/>
                <w:color w:val="000000"/>
                <w:sz w:val="21"/>
                <w:szCs w:val="21"/>
                <w:shd w:val="clear" w:color="auto" w:fill="FFFFFF"/>
              </w:rPr>
              <w:t>, Clavel MA</w:t>
            </w:r>
            <w:r>
              <w:rPr>
                <w:rFonts w:ascii="Times New Roman"/>
                <w:b/>
                <w:bCs/>
                <w:color w:val="000000"/>
                <w:sz w:val="21"/>
                <w:szCs w:val="21"/>
                <w:vertAlign w:val="superscript"/>
              </w:rPr>
              <w:t>*</w:t>
            </w:r>
            <w:r>
              <w:rPr>
                <w:rFonts w:ascii="Times New Roman"/>
                <w:color w:val="000000"/>
                <w:sz w:val="21"/>
                <w:szCs w:val="21"/>
                <w:shd w:val="clear" w:color="auto" w:fill="FFFFFF"/>
              </w:rPr>
              <w:t xml:space="preserve">, </w:t>
            </w:r>
            <w:r>
              <w:rPr>
                <w:rFonts w:ascii="Times New Roman"/>
                <w:b/>
                <w:bCs/>
                <w:color w:val="000000"/>
                <w:sz w:val="21"/>
                <w:szCs w:val="21"/>
                <w:shd w:val="clear" w:color="auto" w:fill="FFFFFF"/>
              </w:rPr>
              <w:t>Wu Y</w:t>
            </w:r>
            <w:r>
              <w:rPr>
                <w:rFonts w:ascii="Times New Roman"/>
                <w:b/>
                <w:bCs/>
                <w:color w:val="000000"/>
                <w:sz w:val="21"/>
                <w:szCs w:val="21"/>
                <w:vertAlign w:val="superscript"/>
              </w:rPr>
              <w:t>*</w:t>
            </w:r>
            <w:r>
              <w:rPr>
                <w:rFonts w:ascii="Times New Roman"/>
                <w:color w:val="000000"/>
                <w:sz w:val="21"/>
                <w:szCs w:val="21"/>
                <w:shd w:val="clear" w:color="auto" w:fill="FFFFFF"/>
              </w:rPr>
              <w:t>.</w:t>
            </w: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Brain Injury After Transcatheter Replacement of Bicuspid Versus Tricuspid Aortic Valves</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美国</w:t>
            </w:r>
          </w:p>
        </w:tc>
        <w:tc>
          <w:tcPr>
            <w:tcW w:w="993" w:type="dxa"/>
          </w:tcPr>
          <w:p>
            <w:pPr>
              <w:pStyle w:val="21"/>
              <w:widowControl/>
              <w:autoSpaceDE w:val="0"/>
              <w:autoSpaceDN w:val="0"/>
              <w:adjustRightInd w:val="0"/>
              <w:snapToGrid w:val="0"/>
              <w:spacing w:line="360" w:lineRule="auto"/>
              <w:ind w:firstLine="0" w:firstLineChars="0"/>
              <w:rPr>
                <w:rFonts w:ascii="Times New Roman" w:hAnsi="Times New Roman" w:eastAsia="宋体"/>
                <w:color w:val="000000"/>
                <w:sz w:val="21"/>
                <w:szCs w:val="21"/>
                <w:shd w:val="clear" w:color="auto" w:fill="FFFFFF"/>
              </w:rPr>
            </w:pPr>
            <w:r>
              <w:rPr>
                <w:rFonts w:ascii="Times New Roman" w:hAnsi="Times New Roman" w:eastAsia="宋体"/>
                <w:b/>
                <w:bCs/>
                <w:i/>
                <w:iCs/>
                <w:color w:val="000000"/>
                <w:sz w:val="21"/>
                <w:szCs w:val="21"/>
              </w:rPr>
              <w:t>J Am Coll Cardiol</w:t>
            </w:r>
            <w:r>
              <w:rPr>
                <w:rFonts w:ascii="Times New Roman" w:hAnsi="Times New Roman" w:eastAsia="宋体"/>
                <w:color w:val="000000"/>
                <w:sz w:val="21"/>
                <w:szCs w:val="21"/>
              </w:rPr>
              <w:t>. 2020 Dec 1;76(22):2579-2590.</w:t>
            </w:r>
          </w:p>
          <w:p>
            <w:pPr>
              <w:pStyle w:val="4"/>
              <w:adjustRightInd w:val="0"/>
              <w:snapToGrid w:val="0"/>
              <w:spacing w:line="390" w:lineRule="exact"/>
              <w:ind w:firstLine="0" w:firstLineChars="0"/>
              <w:jc w:val="left"/>
              <w:rPr>
                <w:rFonts w:ascii="Times New Roman"/>
                <w:color w:val="000000"/>
                <w:sz w:val="21"/>
                <w:szCs w:val="21"/>
              </w:rPr>
            </w:pP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2020.12.01</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Fan J, Fang X, Liu C, Zhu G, Hou CR, Jiang J, Lin X, Wang L, He Y, Zhu Q, Ng S, Chen Z, Hu H, Liu X</w:t>
            </w:r>
            <w:r>
              <w:rPr>
                <w:rFonts w:ascii="Times New Roman"/>
                <w:color w:val="000000"/>
                <w:sz w:val="21"/>
                <w:szCs w:val="21"/>
                <w:shd w:val="clear" w:color="auto" w:fill="FFFFFF"/>
                <w:vertAlign w:val="superscript"/>
              </w:rPr>
              <w:t>*</w:t>
            </w:r>
            <w:r>
              <w:rPr>
                <w:rFonts w:ascii="Times New Roman"/>
                <w:color w:val="000000"/>
                <w:sz w:val="21"/>
                <w:szCs w:val="21"/>
              </w:rPr>
              <w:t xml:space="preserve">, </w:t>
            </w:r>
            <w:r>
              <w:rPr>
                <w:rFonts w:ascii="Times New Roman"/>
                <w:b/>
                <w:bCs/>
                <w:color w:val="000000"/>
                <w:sz w:val="21"/>
                <w:szCs w:val="21"/>
              </w:rPr>
              <w:t>Wang J</w:t>
            </w:r>
            <w:r>
              <w:rPr>
                <w:rFonts w:ascii="Times New Roman"/>
                <w:b/>
                <w:bCs/>
                <w:color w:val="000000"/>
                <w:sz w:val="21"/>
                <w:szCs w:val="21"/>
                <w:shd w:val="clear" w:color="auto" w:fill="FFFFFF"/>
                <w:vertAlign w:val="superscript"/>
              </w:rPr>
              <w:t>*</w:t>
            </w:r>
            <w:r>
              <w:rPr>
                <w:rFonts w:ascii="Times New Roman"/>
                <w:color w:val="000000"/>
                <w:sz w:val="21"/>
                <w:szCs w:val="21"/>
              </w:rPr>
              <w:t>, Leon MB</w:t>
            </w: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pPr>
              <w:widowControl/>
              <w:jc w:val="left"/>
              <w:rPr>
                <w:color w:val="000000"/>
                <w:kern w:val="0"/>
                <w:szCs w:val="21"/>
              </w:rPr>
            </w:pPr>
            <w:r>
              <w:rPr>
                <w:color w:val="000000"/>
                <w:szCs w:val="21"/>
              </w:rPr>
              <w:t>发明专利</w:t>
            </w:r>
          </w:p>
          <w:p>
            <w:pPr>
              <w:pStyle w:val="4"/>
              <w:adjustRightInd w:val="0"/>
              <w:snapToGrid w:val="0"/>
              <w:spacing w:line="390" w:lineRule="exact"/>
              <w:ind w:firstLine="0" w:firstLineChars="0"/>
              <w:jc w:val="left"/>
              <w:rPr>
                <w:rFonts w:ascii="Times New Roman"/>
                <w:color w:val="000000"/>
                <w:sz w:val="21"/>
                <w:szCs w:val="21"/>
              </w:rPr>
            </w:pP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Atrioventricular Valve Clamping Device And Atrioventricular Valve Clamping System</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美国</w:t>
            </w:r>
          </w:p>
        </w:tc>
        <w:tc>
          <w:tcPr>
            <w:tcW w:w="993"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US 11,737,874 B1</w:t>
            </w: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2023.08.29</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杭州德晋医疗科技有限公司</w:t>
            </w:r>
          </w:p>
        </w:tc>
        <w:tc>
          <w:tcPr>
            <w:tcW w:w="155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b/>
                <w:bCs/>
                <w:color w:val="000000"/>
                <w:sz w:val="21"/>
                <w:szCs w:val="21"/>
              </w:rPr>
              <w:t>Tingchao Zhang</w:t>
            </w:r>
            <w:r>
              <w:rPr>
                <w:rFonts w:ascii="Times New Roman"/>
                <w:color w:val="000000"/>
                <w:sz w:val="21"/>
                <w:szCs w:val="21"/>
              </w:rPr>
              <w:t>, Wei Jiang, Xianzhang, Zehan Zhang</w:t>
            </w: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发明专利</w:t>
            </w: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Method and apparatus for processing blood vessel image, storage medium, and imaging device</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美国</w:t>
            </w:r>
          </w:p>
        </w:tc>
        <w:tc>
          <w:tcPr>
            <w:tcW w:w="993"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US11607189B2</w:t>
            </w: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2023.03.21</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pPr>
              <w:pStyle w:val="4"/>
              <w:adjustRightInd w:val="0"/>
              <w:snapToGrid w:val="0"/>
              <w:spacing w:line="390" w:lineRule="exact"/>
              <w:ind w:firstLine="0" w:firstLineChars="0"/>
              <w:jc w:val="left"/>
              <w:rPr>
                <w:rFonts w:ascii="Times New Roman"/>
                <w:color w:val="000000"/>
                <w:sz w:val="21"/>
                <w:szCs w:val="21"/>
              </w:rPr>
            </w:pPr>
            <w:bookmarkStart w:id="2" w:name="OLE_LINK19"/>
            <w:bookmarkStart w:id="3" w:name="OLE_LINK20"/>
            <w:r>
              <w:rPr>
                <w:rFonts w:ascii="Times New Roman"/>
                <w:color w:val="000000"/>
                <w:sz w:val="21"/>
                <w:szCs w:val="21"/>
              </w:rPr>
              <w:t>上海博动医疗科技股份有限公司</w:t>
            </w:r>
            <w:bookmarkEnd w:id="2"/>
            <w:bookmarkEnd w:id="3"/>
          </w:p>
        </w:tc>
        <w:tc>
          <w:tcPr>
            <w:tcW w:w="1559" w:type="dxa"/>
          </w:tcPr>
          <w:p>
            <w:pPr>
              <w:pStyle w:val="4"/>
              <w:adjustRightInd w:val="0"/>
              <w:snapToGrid w:val="0"/>
              <w:spacing w:line="390" w:lineRule="exact"/>
              <w:ind w:firstLine="0" w:firstLineChars="0"/>
              <w:jc w:val="left"/>
              <w:rPr>
                <w:rFonts w:hint="eastAsia" w:ascii="Times New Roman"/>
                <w:color w:val="000000"/>
                <w:sz w:val="21"/>
                <w:szCs w:val="21"/>
              </w:rPr>
            </w:pPr>
            <w:r>
              <w:rPr>
                <w:rFonts w:ascii="Times New Roman"/>
                <w:b/>
                <w:bCs/>
                <w:color w:val="000000"/>
                <w:sz w:val="21"/>
                <w:szCs w:val="21"/>
              </w:rPr>
              <w:t>Shengxian Tu</w:t>
            </w:r>
            <w:r>
              <w:rPr>
                <w:rFonts w:ascii="Times New Roman"/>
                <w:color w:val="000000"/>
                <w:sz w:val="21"/>
                <w:szCs w:val="21"/>
              </w:rPr>
              <w:t>, W</w:t>
            </w:r>
            <w:r>
              <w:rPr>
                <w:rFonts w:hint="eastAsia" w:ascii="Times New Roman"/>
                <w:color w:val="000000"/>
                <w:sz w:val="21"/>
                <w:szCs w:val="21"/>
              </w:rPr>
              <w:t>ei</w:t>
            </w:r>
            <w:r>
              <w:rPr>
                <w:rFonts w:ascii="Times New Roman"/>
                <w:color w:val="000000"/>
                <w:sz w:val="21"/>
                <w:szCs w:val="21"/>
              </w:rPr>
              <w:t xml:space="preserve"> Y</w:t>
            </w:r>
            <w:r>
              <w:rPr>
                <w:rFonts w:hint="eastAsia" w:ascii="Times New Roman"/>
                <w:color w:val="000000"/>
                <w:sz w:val="21"/>
                <w:szCs w:val="21"/>
              </w:rPr>
              <w:t>u，Jiayue</w:t>
            </w:r>
            <w:r>
              <w:rPr>
                <w:rFonts w:ascii="Times New Roman"/>
                <w:color w:val="000000"/>
                <w:sz w:val="21"/>
                <w:szCs w:val="21"/>
              </w:rPr>
              <w:t xml:space="preserve"> Huang, Su Zhang, Xiaogang Fu</w:t>
            </w: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69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发明专利</w:t>
            </w: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Vascular pressure difference correction method, device and apparatus</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美国</w:t>
            </w:r>
          </w:p>
        </w:tc>
        <w:tc>
          <w:tcPr>
            <w:tcW w:w="993"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US11288811 B2</w:t>
            </w: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2022.03.29</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上海博动医疗科技股份有限公司</w:t>
            </w:r>
          </w:p>
        </w:tc>
        <w:tc>
          <w:tcPr>
            <w:tcW w:w="155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b/>
                <w:bCs/>
                <w:color w:val="000000"/>
                <w:sz w:val="21"/>
                <w:szCs w:val="21"/>
              </w:rPr>
              <w:t>Shengxian Tu</w:t>
            </w:r>
            <w:r>
              <w:rPr>
                <w:rFonts w:ascii="Times New Roman"/>
                <w:color w:val="000000"/>
                <w:sz w:val="21"/>
                <w:szCs w:val="21"/>
              </w:rPr>
              <w:t>, Wei Yu, Jiayue Huang, Yundai Chen, Fuhua Yan</w:t>
            </w: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699"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论文</w:t>
            </w:r>
          </w:p>
        </w:tc>
        <w:tc>
          <w:tcPr>
            <w:tcW w:w="2268"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color w:val="000000"/>
                <w:sz w:val="21"/>
                <w:szCs w:val="21"/>
              </w:rPr>
              <w:t>FAVOR Pilot Trial Study Group. Diagnostic Accuracy of Fast Computational Approaches to Derive Fractional Flow Reserve From Diagnostic Coronary Angiography: The International Multicenter FAVOR Pilot Study.</w:t>
            </w:r>
          </w:p>
        </w:tc>
        <w:tc>
          <w:tcPr>
            <w:tcW w:w="42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美国</w:t>
            </w:r>
          </w:p>
        </w:tc>
        <w:tc>
          <w:tcPr>
            <w:tcW w:w="993"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b/>
                <w:bCs/>
                <w:i/>
                <w:iCs/>
                <w:color w:val="000000"/>
                <w:sz w:val="21"/>
                <w:szCs w:val="21"/>
              </w:rPr>
              <w:t>JACC Cardiovasc Interv</w:t>
            </w:r>
            <w:r>
              <w:rPr>
                <w:rFonts w:ascii="Times New Roman"/>
                <w:color w:val="000000"/>
                <w:sz w:val="21"/>
                <w:szCs w:val="21"/>
              </w:rPr>
              <w:t>. 2016 Oct 10;9(19):2024-2035.</w:t>
            </w:r>
          </w:p>
        </w:tc>
        <w:tc>
          <w:tcPr>
            <w:tcW w:w="708"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2016.10.10</w:t>
            </w:r>
          </w:p>
        </w:tc>
        <w:tc>
          <w:tcPr>
            <w:tcW w:w="805"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613"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c>
          <w:tcPr>
            <w:tcW w:w="1559" w:type="dxa"/>
          </w:tcPr>
          <w:p>
            <w:pPr>
              <w:pStyle w:val="4"/>
              <w:adjustRightInd w:val="0"/>
              <w:snapToGrid w:val="0"/>
              <w:spacing w:line="390" w:lineRule="exact"/>
              <w:ind w:firstLine="0" w:firstLineChars="0"/>
              <w:jc w:val="left"/>
              <w:rPr>
                <w:rFonts w:ascii="Times New Roman"/>
                <w:color w:val="000000"/>
                <w:sz w:val="21"/>
                <w:szCs w:val="21"/>
              </w:rPr>
            </w:pPr>
            <w:r>
              <w:rPr>
                <w:rFonts w:ascii="Times New Roman"/>
                <w:b/>
                <w:bCs/>
                <w:color w:val="000000"/>
                <w:sz w:val="21"/>
                <w:szCs w:val="21"/>
              </w:rPr>
              <w:t>Tu S</w:t>
            </w:r>
            <w:r>
              <w:rPr>
                <w:rFonts w:ascii="Times New Roman"/>
                <w:color w:val="000000"/>
                <w:sz w:val="21"/>
                <w:szCs w:val="21"/>
              </w:rPr>
              <w:t>, Westra J, Yang J, von Birgelen C, Ferrara A, Pellicano M, Nef H, Tebaldi M, Murasato Y, Lansky A, Barbato E, van der Heijden LC, Reiber JHC, Holm NR, Wijns W; FAVOR Pilot Trial Study Group.</w:t>
            </w:r>
          </w:p>
          <w:p>
            <w:pPr>
              <w:pStyle w:val="4"/>
              <w:adjustRightInd w:val="0"/>
              <w:snapToGrid w:val="0"/>
              <w:spacing w:line="390" w:lineRule="exact"/>
              <w:ind w:firstLine="0" w:firstLineChars="0"/>
              <w:jc w:val="left"/>
              <w:rPr>
                <w:rFonts w:ascii="Times New Roman"/>
                <w:color w:val="000000"/>
                <w:sz w:val="21"/>
                <w:szCs w:val="21"/>
              </w:rPr>
            </w:pPr>
          </w:p>
        </w:tc>
        <w:tc>
          <w:tcPr>
            <w:tcW w:w="780" w:type="dxa"/>
          </w:tcPr>
          <w:p>
            <w:pPr>
              <w:pStyle w:val="4"/>
              <w:adjustRightInd w:val="0"/>
              <w:snapToGrid w:val="0"/>
              <w:spacing w:line="390" w:lineRule="exact"/>
              <w:ind w:firstLine="0" w:firstLineChars="0"/>
              <w:jc w:val="left"/>
              <w:rPr>
                <w:rFonts w:ascii="Times New Roman"/>
                <w:color w:val="000000"/>
                <w:sz w:val="21"/>
                <w:szCs w:val="21"/>
              </w:rPr>
            </w:pPr>
            <w:r>
              <w:rPr>
                <w:rFonts w:hint="eastAsia" w:ascii="Times New Roman"/>
                <w:color w:val="000000"/>
                <w:sz w:val="21"/>
                <w:szCs w:val="21"/>
              </w:rPr>
              <w:t>/</w:t>
            </w:r>
          </w:p>
        </w:tc>
      </w:tr>
    </w:tbl>
    <w:p>
      <w:pPr>
        <w:adjustRightInd w:val="0"/>
        <w:snapToGrid w:val="0"/>
        <w:spacing w:line="560" w:lineRule="exact"/>
        <w:rPr>
          <w:rFonts w:ascii="黑体" w:hAnsi="黑体" w:eastAsia="黑体" w:cs="黑体"/>
          <w:sz w:val="32"/>
          <w:szCs w:val="32"/>
        </w:rPr>
      </w:pP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（四）主要完成人</w:t>
      </w: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王建安、涂圣贤、吴永健、胡新央、蒋峻、刘先宝、许海燕、 林浩昇、张庭超、徐银川、朱齐丰、谢涌泉、余炜、张斌、 李长岭</w:t>
      </w:r>
    </w:p>
    <w:p>
      <w:pPr>
        <w:pStyle w:val="2"/>
      </w:pP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（五）主要完成单位</w:t>
      </w: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浙江大学医学院附属第二医院；上海交通大学；中国医学科学院阜外医院；上海博动医疗科技股份有限公司；杭州启明医疗器械股份有限公司；杭州德晋医疗科技有限公司</w:t>
      </w:r>
    </w:p>
    <w:p>
      <w:pPr>
        <w:adjustRightInd w:val="0"/>
        <w:snapToGrid w:val="0"/>
        <w:spacing w:line="560" w:lineRule="exact"/>
        <w:rPr>
          <w:sz w:val="32"/>
          <w:szCs w:val="32"/>
        </w:rPr>
      </w:pPr>
    </w:p>
    <w:p>
      <w:pPr>
        <w:pStyle w:val="2"/>
      </w:pPr>
    </w:p>
    <w:p>
      <w:pPr>
        <w:rPr>
          <w:rFonts w:ascii="方正小标宋简体" w:hAnsi="方正小标宋简体" w:eastAsia="方正小标宋简体" w:cs="方正小标宋简体"/>
          <w:b/>
          <w:sz w:val="44"/>
          <w:szCs w:val="44"/>
        </w:rPr>
      </w:pPr>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ZDI0Y2RiMzI0MTllNmQzZWI4MjYwMTllMzdmY2YifQ=="/>
  </w:docVars>
  <w:rsids>
    <w:rsidRoot w:val="00822F41"/>
    <w:rsid w:val="00003577"/>
    <w:rsid w:val="00006B56"/>
    <w:rsid w:val="00010406"/>
    <w:rsid w:val="00024C74"/>
    <w:rsid w:val="000318DA"/>
    <w:rsid w:val="00036E61"/>
    <w:rsid w:val="000669C8"/>
    <w:rsid w:val="00072681"/>
    <w:rsid w:val="00080D53"/>
    <w:rsid w:val="000A290D"/>
    <w:rsid w:val="000B4AA9"/>
    <w:rsid w:val="000D2556"/>
    <w:rsid w:val="000D2943"/>
    <w:rsid w:val="000F28F2"/>
    <w:rsid w:val="0011420E"/>
    <w:rsid w:val="00120FCB"/>
    <w:rsid w:val="001225B2"/>
    <w:rsid w:val="00140BC0"/>
    <w:rsid w:val="001455AF"/>
    <w:rsid w:val="0014656F"/>
    <w:rsid w:val="00174C82"/>
    <w:rsid w:val="00190032"/>
    <w:rsid w:val="001A16C9"/>
    <w:rsid w:val="001A1EFF"/>
    <w:rsid w:val="001A3376"/>
    <w:rsid w:val="001A6B61"/>
    <w:rsid w:val="001C2831"/>
    <w:rsid w:val="001C3EAF"/>
    <w:rsid w:val="001D09D8"/>
    <w:rsid w:val="001D704B"/>
    <w:rsid w:val="00203483"/>
    <w:rsid w:val="00237524"/>
    <w:rsid w:val="00245728"/>
    <w:rsid w:val="002510B3"/>
    <w:rsid w:val="00270BAF"/>
    <w:rsid w:val="00291928"/>
    <w:rsid w:val="002B0C33"/>
    <w:rsid w:val="002C1A30"/>
    <w:rsid w:val="002C71EA"/>
    <w:rsid w:val="002E2619"/>
    <w:rsid w:val="002E47D2"/>
    <w:rsid w:val="002E523B"/>
    <w:rsid w:val="002E61BF"/>
    <w:rsid w:val="002F45CC"/>
    <w:rsid w:val="00311A06"/>
    <w:rsid w:val="00330B37"/>
    <w:rsid w:val="00343D5E"/>
    <w:rsid w:val="003714D6"/>
    <w:rsid w:val="00381862"/>
    <w:rsid w:val="00381EB3"/>
    <w:rsid w:val="003C5A69"/>
    <w:rsid w:val="004137FC"/>
    <w:rsid w:val="0042002C"/>
    <w:rsid w:val="0042035E"/>
    <w:rsid w:val="00462718"/>
    <w:rsid w:val="00475D61"/>
    <w:rsid w:val="00487691"/>
    <w:rsid w:val="004916E6"/>
    <w:rsid w:val="004B17EA"/>
    <w:rsid w:val="004C3D76"/>
    <w:rsid w:val="004C6F5D"/>
    <w:rsid w:val="004C7BBD"/>
    <w:rsid w:val="004D4F4E"/>
    <w:rsid w:val="004F1A1D"/>
    <w:rsid w:val="00504CAB"/>
    <w:rsid w:val="0052171C"/>
    <w:rsid w:val="00525496"/>
    <w:rsid w:val="00527A96"/>
    <w:rsid w:val="00563E72"/>
    <w:rsid w:val="00572A40"/>
    <w:rsid w:val="0058425D"/>
    <w:rsid w:val="005A301B"/>
    <w:rsid w:val="005A3446"/>
    <w:rsid w:val="005A4C5A"/>
    <w:rsid w:val="005A63D7"/>
    <w:rsid w:val="005D2A43"/>
    <w:rsid w:val="005D7BB1"/>
    <w:rsid w:val="005E7123"/>
    <w:rsid w:val="005F4E42"/>
    <w:rsid w:val="005F7367"/>
    <w:rsid w:val="00601480"/>
    <w:rsid w:val="00612FE8"/>
    <w:rsid w:val="00632D55"/>
    <w:rsid w:val="006451CA"/>
    <w:rsid w:val="006462CB"/>
    <w:rsid w:val="00651CE6"/>
    <w:rsid w:val="00671E7E"/>
    <w:rsid w:val="006751F7"/>
    <w:rsid w:val="006822AE"/>
    <w:rsid w:val="0068331B"/>
    <w:rsid w:val="00687B01"/>
    <w:rsid w:val="006901F6"/>
    <w:rsid w:val="006945C4"/>
    <w:rsid w:val="006A1A02"/>
    <w:rsid w:val="006C62FC"/>
    <w:rsid w:val="00702E11"/>
    <w:rsid w:val="007122C2"/>
    <w:rsid w:val="00720D87"/>
    <w:rsid w:val="00720DD9"/>
    <w:rsid w:val="00732AF0"/>
    <w:rsid w:val="00760CED"/>
    <w:rsid w:val="00764925"/>
    <w:rsid w:val="00776ACE"/>
    <w:rsid w:val="0079259B"/>
    <w:rsid w:val="007927CB"/>
    <w:rsid w:val="00795142"/>
    <w:rsid w:val="007A490E"/>
    <w:rsid w:val="007B1DDF"/>
    <w:rsid w:val="007B457D"/>
    <w:rsid w:val="007C2DD9"/>
    <w:rsid w:val="007C4C1C"/>
    <w:rsid w:val="007D44E9"/>
    <w:rsid w:val="007E6680"/>
    <w:rsid w:val="008210FD"/>
    <w:rsid w:val="0082242E"/>
    <w:rsid w:val="00822F41"/>
    <w:rsid w:val="008236D5"/>
    <w:rsid w:val="00825117"/>
    <w:rsid w:val="00834466"/>
    <w:rsid w:val="0084234F"/>
    <w:rsid w:val="0084366F"/>
    <w:rsid w:val="008451A8"/>
    <w:rsid w:val="00847951"/>
    <w:rsid w:val="00847A14"/>
    <w:rsid w:val="00854784"/>
    <w:rsid w:val="00864CD5"/>
    <w:rsid w:val="00865D4C"/>
    <w:rsid w:val="008674C4"/>
    <w:rsid w:val="008A06C4"/>
    <w:rsid w:val="008A42AE"/>
    <w:rsid w:val="008B1D3A"/>
    <w:rsid w:val="008B1DB8"/>
    <w:rsid w:val="008C0294"/>
    <w:rsid w:val="008D0687"/>
    <w:rsid w:val="008D0E8D"/>
    <w:rsid w:val="008F20AC"/>
    <w:rsid w:val="008F6AA4"/>
    <w:rsid w:val="0090182D"/>
    <w:rsid w:val="009063FC"/>
    <w:rsid w:val="0090774B"/>
    <w:rsid w:val="00915460"/>
    <w:rsid w:val="00926ECA"/>
    <w:rsid w:val="00964538"/>
    <w:rsid w:val="009733A5"/>
    <w:rsid w:val="0098257F"/>
    <w:rsid w:val="00A05545"/>
    <w:rsid w:val="00A11023"/>
    <w:rsid w:val="00A136A9"/>
    <w:rsid w:val="00A2588F"/>
    <w:rsid w:val="00A2607C"/>
    <w:rsid w:val="00A263FD"/>
    <w:rsid w:val="00A27BDC"/>
    <w:rsid w:val="00A35798"/>
    <w:rsid w:val="00A40108"/>
    <w:rsid w:val="00A767D7"/>
    <w:rsid w:val="00A827CE"/>
    <w:rsid w:val="00A91E01"/>
    <w:rsid w:val="00AA5332"/>
    <w:rsid w:val="00AA5860"/>
    <w:rsid w:val="00AB4313"/>
    <w:rsid w:val="00AC177C"/>
    <w:rsid w:val="00AC18CF"/>
    <w:rsid w:val="00AD2117"/>
    <w:rsid w:val="00AF3E40"/>
    <w:rsid w:val="00B121F3"/>
    <w:rsid w:val="00B70893"/>
    <w:rsid w:val="00B70CE6"/>
    <w:rsid w:val="00B75EC1"/>
    <w:rsid w:val="00B86FD9"/>
    <w:rsid w:val="00B92CAF"/>
    <w:rsid w:val="00BA2FD2"/>
    <w:rsid w:val="00BA58E7"/>
    <w:rsid w:val="00BD1F5D"/>
    <w:rsid w:val="00BE5B9B"/>
    <w:rsid w:val="00BF04EA"/>
    <w:rsid w:val="00C014DF"/>
    <w:rsid w:val="00C016B5"/>
    <w:rsid w:val="00C016DD"/>
    <w:rsid w:val="00C02AE9"/>
    <w:rsid w:val="00C23AD5"/>
    <w:rsid w:val="00C33810"/>
    <w:rsid w:val="00C725AC"/>
    <w:rsid w:val="00CA1802"/>
    <w:rsid w:val="00CA3E4E"/>
    <w:rsid w:val="00CA4AAF"/>
    <w:rsid w:val="00CF3243"/>
    <w:rsid w:val="00CF370E"/>
    <w:rsid w:val="00D0308A"/>
    <w:rsid w:val="00D131C3"/>
    <w:rsid w:val="00D2361E"/>
    <w:rsid w:val="00D236D5"/>
    <w:rsid w:val="00D4521F"/>
    <w:rsid w:val="00D5219A"/>
    <w:rsid w:val="00D525DA"/>
    <w:rsid w:val="00D54C80"/>
    <w:rsid w:val="00D60B41"/>
    <w:rsid w:val="00D9730B"/>
    <w:rsid w:val="00DC1621"/>
    <w:rsid w:val="00DC7AA7"/>
    <w:rsid w:val="00DE1EAE"/>
    <w:rsid w:val="00DE38A8"/>
    <w:rsid w:val="00E02BD8"/>
    <w:rsid w:val="00E06FD6"/>
    <w:rsid w:val="00E07250"/>
    <w:rsid w:val="00E10144"/>
    <w:rsid w:val="00E14DB9"/>
    <w:rsid w:val="00E24C86"/>
    <w:rsid w:val="00E30127"/>
    <w:rsid w:val="00E43F82"/>
    <w:rsid w:val="00E5309C"/>
    <w:rsid w:val="00E55977"/>
    <w:rsid w:val="00E71520"/>
    <w:rsid w:val="00E851DF"/>
    <w:rsid w:val="00EB2F9A"/>
    <w:rsid w:val="00EB778D"/>
    <w:rsid w:val="00EC0F7C"/>
    <w:rsid w:val="00EC5F77"/>
    <w:rsid w:val="00EE0243"/>
    <w:rsid w:val="00EE0345"/>
    <w:rsid w:val="00F01250"/>
    <w:rsid w:val="00F17C25"/>
    <w:rsid w:val="00F333F6"/>
    <w:rsid w:val="00F3785C"/>
    <w:rsid w:val="00F40914"/>
    <w:rsid w:val="00F441F5"/>
    <w:rsid w:val="00F45433"/>
    <w:rsid w:val="00F7047A"/>
    <w:rsid w:val="00F81A01"/>
    <w:rsid w:val="00F82045"/>
    <w:rsid w:val="00F832F4"/>
    <w:rsid w:val="00F836E2"/>
    <w:rsid w:val="00F852C1"/>
    <w:rsid w:val="00FB0852"/>
    <w:rsid w:val="00FB17F1"/>
    <w:rsid w:val="00FD28B7"/>
    <w:rsid w:val="00FD4138"/>
    <w:rsid w:val="00FE3092"/>
    <w:rsid w:val="00FE435F"/>
    <w:rsid w:val="01FD42EF"/>
    <w:rsid w:val="03A23C27"/>
    <w:rsid w:val="0517712C"/>
    <w:rsid w:val="091F0FEF"/>
    <w:rsid w:val="09A15F99"/>
    <w:rsid w:val="09BD1F32"/>
    <w:rsid w:val="0B402B47"/>
    <w:rsid w:val="0C92338D"/>
    <w:rsid w:val="0DE565E7"/>
    <w:rsid w:val="0EB9774E"/>
    <w:rsid w:val="0F975F68"/>
    <w:rsid w:val="0FA37CB2"/>
    <w:rsid w:val="10A83678"/>
    <w:rsid w:val="13E72709"/>
    <w:rsid w:val="152F25BA"/>
    <w:rsid w:val="16AC39FC"/>
    <w:rsid w:val="172419CE"/>
    <w:rsid w:val="17F92F26"/>
    <w:rsid w:val="181836D6"/>
    <w:rsid w:val="196F6462"/>
    <w:rsid w:val="19953518"/>
    <w:rsid w:val="19EB1DCD"/>
    <w:rsid w:val="1A9A0F56"/>
    <w:rsid w:val="1AB5657D"/>
    <w:rsid w:val="1C3E4A09"/>
    <w:rsid w:val="1C767B21"/>
    <w:rsid w:val="1E0A6237"/>
    <w:rsid w:val="20B9542D"/>
    <w:rsid w:val="226333FC"/>
    <w:rsid w:val="229C164D"/>
    <w:rsid w:val="22AF32C1"/>
    <w:rsid w:val="22C56B99"/>
    <w:rsid w:val="28BC7E86"/>
    <w:rsid w:val="29F222C1"/>
    <w:rsid w:val="2E032AE7"/>
    <w:rsid w:val="31565117"/>
    <w:rsid w:val="317F3195"/>
    <w:rsid w:val="34B91F8A"/>
    <w:rsid w:val="35494B7A"/>
    <w:rsid w:val="355B47A5"/>
    <w:rsid w:val="37D05063"/>
    <w:rsid w:val="392A3BCE"/>
    <w:rsid w:val="3BA03635"/>
    <w:rsid w:val="3FE51083"/>
    <w:rsid w:val="45B82804"/>
    <w:rsid w:val="46E22750"/>
    <w:rsid w:val="475443C7"/>
    <w:rsid w:val="478F67EB"/>
    <w:rsid w:val="4B1F1850"/>
    <w:rsid w:val="4D0E4287"/>
    <w:rsid w:val="4D4D3AFB"/>
    <w:rsid w:val="4D854753"/>
    <w:rsid w:val="4DE54BC7"/>
    <w:rsid w:val="4EB53D97"/>
    <w:rsid w:val="526622C1"/>
    <w:rsid w:val="567315FF"/>
    <w:rsid w:val="572B12F6"/>
    <w:rsid w:val="59C43223"/>
    <w:rsid w:val="5A427C66"/>
    <w:rsid w:val="5FD67D35"/>
    <w:rsid w:val="600A5100"/>
    <w:rsid w:val="6534765C"/>
    <w:rsid w:val="660656B5"/>
    <w:rsid w:val="6B5B09C1"/>
    <w:rsid w:val="6CCA7D73"/>
    <w:rsid w:val="6D93510E"/>
    <w:rsid w:val="6F855772"/>
    <w:rsid w:val="71B22A92"/>
    <w:rsid w:val="71CB33D1"/>
    <w:rsid w:val="727D7636"/>
    <w:rsid w:val="728A4867"/>
    <w:rsid w:val="73010A86"/>
    <w:rsid w:val="73982EF1"/>
    <w:rsid w:val="73EC3386"/>
    <w:rsid w:val="7A1B0A08"/>
    <w:rsid w:val="7A6B4B71"/>
    <w:rsid w:val="7CA6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3">
    <w:name w:val="annotation text"/>
    <w:basedOn w:val="1"/>
    <w:link w:val="14"/>
    <w:unhideWhenUsed/>
    <w:qFormat/>
    <w:uiPriority w:val="99"/>
    <w:pPr>
      <w:jc w:val="left"/>
    </w:pPr>
  </w:style>
  <w:style w:type="paragraph" w:styleId="4">
    <w:name w:val="Plain Text"/>
    <w:basedOn w:val="1"/>
    <w:link w:val="15"/>
    <w:qFormat/>
    <w:uiPriority w:val="0"/>
    <w:pPr>
      <w:spacing w:line="360" w:lineRule="auto"/>
      <w:ind w:firstLine="480" w:firstLineChars="200"/>
    </w:pPr>
    <w:rPr>
      <w:rFonts w:ascii="仿宋_GB2312"/>
      <w:sz w:val="24"/>
      <w:szCs w:val="20"/>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unhideWhenUsed/>
    <w:qFormat/>
    <w:uiPriority w:val="99"/>
    <w:rPr>
      <w:sz w:val="21"/>
      <w:szCs w:val="21"/>
    </w:rPr>
  </w:style>
  <w:style w:type="character" w:customStyle="1" w:styleId="14">
    <w:name w:val="批注文字 字符"/>
    <w:link w:val="3"/>
    <w:semiHidden/>
    <w:qFormat/>
    <w:uiPriority w:val="99"/>
    <w:rPr>
      <w:rFonts w:ascii="Times New Roman" w:hAnsi="Times New Roman" w:eastAsia="宋体" w:cs="Times New Roman"/>
      <w:szCs w:val="24"/>
    </w:rPr>
  </w:style>
  <w:style w:type="character" w:customStyle="1" w:styleId="15">
    <w:name w:val="纯文本 字符1"/>
    <w:link w:val="4"/>
    <w:qFormat/>
    <w:locked/>
    <w:uiPriority w:val="0"/>
    <w:rPr>
      <w:rFonts w:ascii="仿宋_GB2312" w:hAnsi="Times New Roman" w:eastAsia="宋体" w:cs="Times New Roman"/>
      <w:sz w:val="24"/>
      <w:szCs w:val="20"/>
    </w:rPr>
  </w:style>
  <w:style w:type="character" w:customStyle="1" w:styleId="16">
    <w:name w:val="批注框文本 字符"/>
    <w:link w:val="5"/>
    <w:semiHidden/>
    <w:qFormat/>
    <w:uiPriority w:val="99"/>
    <w:rPr>
      <w:rFonts w:ascii="Times New Roman" w:hAnsi="Times New Roman" w:eastAsia="宋体" w:cs="Times New Roman"/>
      <w:sz w:val="18"/>
      <w:szCs w:val="18"/>
    </w:rPr>
  </w:style>
  <w:style w:type="character" w:customStyle="1" w:styleId="17">
    <w:name w:val="页脚 字符"/>
    <w:link w:val="6"/>
    <w:qFormat/>
    <w:uiPriority w:val="99"/>
    <w:rPr>
      <w:sz w:val="18"/>
      <w:szCs w:val="18"/>
    </w:rPr>
  </w:style>
  <w:style w:type="character" w:customStyle="1" w:styleId="18">
    <w:name w:val="页眉 字符"/>
    <w:link w:val="7"/>
    <w:qFormat/>
    <w:uiPriority w:val="99"/>
    <w:rPr>
      <w:sz w:val="18"/>
      <w:szCs w:val="18"/>
    </w:rPr>
  </w:style>
  <w:style w:type="character" w:customStyle="1" w:styleId="19">
    <w:name w:val="批注主题 字符"/>
    <w:link w:val="8"/>
    <w:semiHidden/>
    <w:qFormat/>
    <w:uiPriority w:val="99"/>
    <w:rPr>
      <w:rFonts w:ascii="Times New Roman" w:hAnsi="Times New Roman" w:eastAsia="宋体" w:cs="Times New Roman"/>
      <w:b/>
      <w:bCs/>
      <w:szCs w:val="24"/>
    </w:rPr>
  </w:style>
  <w:style w:type="character" w:customStyle="1" w:styleId="20">
    <w:name w:val="纯文本 字符"/>
    <w:semiHidden/>
    <w:qFormat/>
    <w:uiPriority w:val="99"/>
    <w:rPr>
      <w:rFonts w:ascii="等线" w:hAnsi="Courier New" w:cs="Courier New"/>
      <w:szCs w:val="24"/>
    </w:rPr>
  </w:style>
  <w:style w:type="paragraph" w:styleId="21">
    <w:name w:val="List Paragraph"/>
    <w:basedOn w:val="1"/>
    <w:qFormat/>
    <w:uiPriority w:val="99"/>
    <w:pPr>
      <w:ind w:firstLine="420" w:firstLineChars="200"/>
    </w:pPr>
    <w:rPr>
      <w:rFonts w:ascii="仿宋_GB2312" w:hAnsi="Calibri" w:eastAsia="仿宋_GB2312"/>
      <w:spacing w:val="-4"/>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7EC3-6501-4F33-9D44-6E71066B16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1312</Words>
  <Characters>3177</Characters>
  <Lines>26</Lines>
  <Paragraphs>7</Paragraphs>
  <TotalTime>11</TotalTime>
  <ScaleCrop>false</ScaleCrop>
  <LinksUpToDate>false</LinksUpToDate>
  <CharactersWithSpaces>3621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2025-06-04T01:16:00Z</dcterms:created>
  <dc:creator>LY-01</dc:creator>
  <cp:lastModifiedBy>李鑫</cp:lastModifiedBy>
  <dcterms:modified xsi:type="dcterms:W3CDTF">2025-06-04T08:05:03Z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eyJoZGlkIjoiMDc4YjMzODkzNjYzOTg4NjkyODA0MzQyOTNiYTliNTIiLCJ1c2VySWQiOiIyMDA5MjU4NjIifQ==</vt:lpwstr>
  </property>
  <property fmtid="{D5CDD505-2E9C-101B-9397-08002B2CF9AE}" pid="3" name="KSOProductBuildVer">
    <vt:lpwstr>2052-12.1.0.16929</vt:lpwstr>
  </property>
  <property fmtid="{D5CDD505-2E9C-101B-9397-08002B2CF9AE}" pid="4" name="ICV">
    <vt:lpwstr>26D7A2D395D24B26B1EB06023F7BB181_13</vt:lpwstr>
  </property>
</Properties>
</file>