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rPr>
          <w:rFonts w:hint="eastAsia" w:ascii="黑体" w:hAnsi="黑体" w:eastAsia="黑体" w:cs="黑体"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val="en-US" w:eastAsia="zh-CN"/>
        </w:rPr>
        <w:t>4</w:t>
      </w: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年度福建省科学技术奖</w:t>
      </w:r>
    </w:p>
    <w:p>
      <w:pPr>
        <w:autoSpaceDE w:val="0"/>
        <w:autoSpaceDN w:val="0"/>
        <w:adjustRightInd w:val="0"/>
        <w:spacing w:line="760" w:lineRule="exact"/>
        <w:jc w:val="center"/>
        <w:rPr>
          <w:rFonts w:hint="eastAsia" w:ascii="仿宋_GB2312" w:hAnsi="仿宋_GB2312" w:eastAsia="仿宋_GB2312" w:cs="仿宋_GB2312"/>
          <w:b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提名项目公示内容</w:t>
      </w:r>
    </w:p>
    <w:p>
      <w:pPr>
        <w:autoSpaceDE w:val="0"/>
        <w:autoSpaceDN w:val="0"/>
        <w:adjustRightInd w:val="0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公示单位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（盖章）：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/>
        </w:rPr>
        <w:t>上海交通</w:t>
      </w: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大学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hint="eastAsia"/>
          <w:sz w:val="28"/>
          <w:szCs w:val="28"/>
          <w:lang w:val="en-GB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项目名称：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钢铁供应链数字化关键技术及应用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提名奖种：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省科学技术进步奖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提名单位：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福建省冶金(控股)有限责任公司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项目简介：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本项目以钢铁供应链数字化和产业升级为需求牵引,打通了钢铁供应链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lang w:val="en-US" w:eastAsia="zh-CN"/>
        </w:rPr>
        <w:t>中生产、仓储、物流等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各环节的信息孤岛,攻克了异构网络接入难、定制工艺匹配慢、多区仓储效率低、混装物流配载繁等挑战性难题,建立了完善的钢铁供应链数字化技术体系与平台。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主要创新如下：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1.突破了钢铁供应链异构物联监管技术,创新性地通过软件定义工业异构网络与微服务系统架构,实现了对钢铁供应链异构监管数据的分级调度，以及各环节管理功能间的高度解耦，打通了钢铁供应链各环节的信息孤岛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2.系统性研发了钢铁定制化生产协同调度技术,通过销售、生产、仓储等多环节的信息共享,基于知识推理实现了生产计划的自适应调整,提升了轧线的机时产量和成材率,降低了加热炉能耗,实现了生产与仓储管理的无缝衔接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3.创新性地提出了钢铁仓储多区域协同优化技术,通过多级层次聚类和订单关联度分析,实现了入库、堆垛、出库等多区域的仓储协同优化,在保证钢铁仓储安全性的同时,减少了钢材倒垛量,提升了钢铁仓库的吞吐量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4.研发了钢铁混装物流协同调度技术,通过融合物流车辆和订单数据,实现了单车混装配载和多堆场取货时序的调度优化，显著提升了混装车辆的单车配载量，减少了需转场配载的车辆数，降低了平均取货时间。</w:t>
      </w:r>
    </w:p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  <w:lang w:val="en-US" w:eastAsia="zh-CN"/>
        </w:rPr>
        <w:t>本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项目已获授权发明专利12件,软著13件。项目已建成“闽光云商”钢铁供应链数字化平台,系统性研发部署了物联监管、云仓、云通等模块。该平台己实时对接三钢集团各生产基地19个厂内货场, 67个外部仓储机构,年吞吐量超1700万吨;同时签约第三方企业超8000家,连接车辆、企业系统、终端等连接数超10万户,有效提升了钢铁供应链各环节的运作效率。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  <w:lang w:eastAsia="zh-CN"/>
        </w:rPr>
        <w:t>本项目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近三年累计实现新增产值数十亿元,引领了钢铁企业供应链数字化转型,经济和社会效益显著。</w:t>
      </w:r>
    </w:p>
    <w:p>
      <w:pPr>
        <w:pStyle w:val="2"/>
      </w:pPr>
    </w:p>
    <w:p>
      <w:pPr>
        <w:pStyle w:val="2"/>
        <w:rPr>
          <w:rFonts w:hint="eastAsia"/>
        </w:r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</w:rPr>
        <w:t>主要完成单位：</w:t>
      </w: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福建三钢闽光股份有限公司</w:t>
      </w:r>
    </w:p>
    <w:p>
      <w:pPr>
        <w:autoSpaceDE w:val="0"/>
        <w:autoSpaceDN w:val="0"/>
        <w:adjustRightInd w:val="0"/>
        <w:spacing w:line="560" w:lineRule="exact"/>
        <w:ind w:left="2205" w:leftChars="105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bookmarkStart w:id="0" w:name="_Hlk171888459"/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福州大学</w:t>
      </w:r>
    </w:p>
    <w:p>
      <w:pPr>
        <w:autoSpaceDE w:val="0"/>
        <w:autoSpaceDN w:val="0"/>
        <w:adjustRightInd w:val="0"/>
        <w:spacing w:line="560" w:lineRule="exact"/>
        <w:ind w:left="2205" w:leftChars="105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上海交通大学</w:t>
      </w:r>
    </w:p>
    <w:p>
      <w:pPr>
        <w:autoSpaceDE w:val="0"/>
        <w:autoSpaceDN w:val="0"/>
        <w:adjustRightInd w:val="0"/>
        <w:spacing w:line="560" w:lineRule="exact"/>
        <w:ind w:left="2205" w:leftChars="1050"/>
        <w:rPr>
          <w:rFonts w:hint="eastAsia"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福建闽光云商有限公司</w:t>
      </w:r>
    </w:p>
    <w:p>
      <w:pPr>
        <w:autoSpaceDE w:val="0"/>
        <w:autoSpaceDN w:val="0"/>
        <w:adjustRightInd w:val="0"/>
        <w:spacing w:line="560" w:lineRule="exact"/>
        <w:ind w:left="2205" w:leftChars="1050"/>
        <w:rPr>
          <w:rFonts w:ascii="仿宋" w:hAnsi="仿宋" w:eastAsia="仿宋" w:cs="仿宋_GB2312"/>
          <w:bCs/>
          <w:kern w:val="0"/>
          <w:sz w:val="28"/>
          <w:szCs w:val="28"/>
        </w:rPr>
      </w:pPr>
      <w:r>
        <w:rPr>
          <w:rFonts w:hint="eastAsia" w:ascii="仿宋" w:hAnsi="仿宋" w:eastAsia="仿宋" w:cs="仿宋_GB2312"/>
          <w:bCs/>
          <w:kern w:val="0"/>
          <w:sz w:val="28"/>
          <w:szCs w:val="28"/>
        </w:rPr>
        <w:t>福建华鼎智造技术有限公司</w:t>
      </w:r>
    </w:p>
    <w:p>
      <w:pPr>
        <w:pStyle w:val="2"/>
      </w:pPr>
    </w:p>
    <w:p>
      <w:pPr>
        <w:pStyle w:val="2"/>
      </w:pPr>
    </w:p>
    <w:p>
      <w:pPr>
        <w:pStyle w:val="2"/>
        <w:sectPr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bookmarkEnd w:id="0"/>
    <w:p>
      <w:pPr>
        <w:autoSpaceDE w:val="0"/>
        <w:autoSpaceDN w:val="0"/>
        <w:adjustRightInd w:val="0"/>
        <w:spacing w:line="560" w:lineRule="exact"/>
        <w:rPr>
          <w:rFonts w:ascii="仿宋_GB2312" w:hAnsi="仿宋_GB2312" w:eastAsia="仿宋_GB2312" w:cs="仿宋_GB2312"/>
          <w:b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28"/>
          <w:szCs w:val="28"/>
        </w:rPr>
        <w:t>6.主要完成人及其贡献：</w:t>
      </w:r>
    </w:p>
    <w:tbl>
      <w:tblPr>
        <w:tblStyle w:val="12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851"/>
        <w:gridCol w:w="1134"/>
        <w:gridCol w:w="1134"/>
        <w:gridCol w:w="992"/>
        <w:gridCol w:w="1276"/>
        <w:gridCol w:w="68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技术职称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工作单位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jc w:val="center"/>
              <w:rPr>
                <w:rFonts w:eastAsia="仿宋"/>
                <w:b/>
                <w:sz w:val="24"/>
                <w:szCs w:val="21"/>
              </w:rPr>
            </w:pPr>
            <w:r>
              <w:rPr>
                <w:rFonts w:eastAsia="仿宋"/>
                <w:b/>
                <w:sz w:val="24"/>
                <w:szCs w:val="21"/>
              </w:rPr>
              <w:t>对成果创造性贡献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黎立璋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1964.08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教授级高级工程师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D0D0D"/>
              </w:rPr>
              <w:t>福建三钢闽光股份有限公司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黎立璋</w:t>
            </w:r>
            <w:r>
              <w:rPr>
                <w:rFonts w:hint="eastAsia"/>
                <w:color w:val="000000"/>
                <w:szCs w:val="21"/>
              </w:rPr>
              <w:t>是创新点2、3的主要贡献者，研究了钢铁定制化生产协同调度技术、钢铁仓储多区域协同优化技术、钢铁供应链数字化服务平台应用，在项目立项、科研、成果应用中起关键作用。在项目研发工作中投入的工作量占其工作总量的百分比为60%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hint="eastAsia" w:eastAsia="仿宋"/>
                <w:sz w:val="24"/>
                <w:szCs w:val="21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徐哲壮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1984.07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福州大学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徐哲壮</w:t>
            </w:r>
            <w:r>
              <w:rPr>
                <w:rFonts w:hint="eastAsia"/>
                <w:color w:val="000000"/>
                <w:szCs w:val="21"/>
              </w:rPr>
              <w:t>是创新点3、4的主要贡献者，参与研究了钢铁仓储多区域协同优化技术、钢铁混装物流协同调度技术，在项目立项和科研过程中起重要作用。在项目研发工作中投入的工作量占其工作总量的百分比为50%。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hint="eastAsia" w:eastAsia="仿宋"/>
                <w:sz w:val="24"/>
                <w:szCs w:val="21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关新平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1963.06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上海交通大学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关新平</w:t>
            </w:r>
            <w:r>
              <w:rPr>
                <w:rFonts w:hint="eastAsia"/>
                <w:color w:val="000000"/>
                <w:szCs w:val="21"/>
              </w:rPr>
              <w:t>是创新点1、2的主要贡献者，参与研究了钢铁供应链异构物联监管技术、钢铁定制化生产协同调度技术，在项目立项和科研过程中起重要作用。在项目研发工作中投入的工作量占其工作总量的百分比为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hint="eastAsia" w:eastAsia="仿宋"/>
                <w:sz w:val="24"/>
                <w:szCs w:val="21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郭凌欢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女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1984.11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高级经济师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D0D0D"/>
              </w:rPr>
              <w:t>福建闽光云商有限公司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郭凌欢</w:t>
            </w:r>
            <w:r>
              <w:rPr>
                <w:rFonts w:hint="eastAsia"/>
                <w:color w:val="000000"/>
                <w:szCs w:val="21"/>
              </w:rPr>
              <w:t>是创新点2、4的主要贡献者，参与研究了钢铁供应链数字化服务平台应用，在项目立项和科研过程中起重要作用。在项目研发工作中投入的工作量占其工作总量的百分比为90%。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张庆东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1973.11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高级工程师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color w:val="0D0D0D"/>
              </w:rPr>
              <w:t>福建三钢闽光股份有限公司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张庆东</w:t>
            </w:r>
            <w:r>
              <w:rPr>
                <w:rFonts w:hint="eastAsia"/>
                <w:color w:val="000000"/>
                <w:szCs w:val="21"/>
              </w:rPr>
              <w:t>是创新点3、4的主要贡献者，参与研究了钢铁供应链异构物联监管技术、钢铁定制化生产协同调度技术，在项目立项和科研过程中起重要作用。在项目研发工作中投入的工作量占其工作总量的百分比为70%。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hint="eastAsia" w:eastAsia="仿宋"/>
                <w:sz w:val="24"/>
                <w:szCs w:val="21"/>
              </w:rPr>
              <w:t>6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陈伯瑜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1963.11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教授级高级工程师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D0D0D"/>
              </w:rPr>
              <w:t>福建三钢闽光股份有限公司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陈伯瑜</w:t>
            </w:r>
            <w:r>
              <w:rPr>
                <w:rFonts w:hint="eastAsia"/>
                <w:color w:val="000000"/>
                <w:szCs w:val="21"/>
              </w:rPr>
              <w:t>是创新点3、4的主要贡献者，参与研究了钢铁供应链异构物联监管技术、钢铁定制化生产协同调度技术，在项目立项和科研过程中起重要作用。在项目研发工作中投入的工作量占其工作总量的百分比为50%。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夏玉雄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1975.09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高级工程师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福建华鼎智造技术有限公司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夏玉雄</w:t>
            </w:r>
            <w:r>
              <w:rPr>
                <w:rFonts w:hint="eastAsia"/>
                <w:color w:val="000000"/>
                <w:szCs w:val="21"/>
              </w:rPr>
              <w:t>是创新点4的贡献者，参与研究了钢铁供应链数字化服务平台应用，在项目立项和科研过程中起重要作用。在项目研发工作中投入的工作量占其工作总量的百分比为50%。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许齐敏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1987.05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副研究员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博士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上海交通大学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szCs w:val="21"/>
              </w:rPr>
              <w:t>许齐敏</w:t>
            </w:r>
            <w:r>
              <w:rPr>
                <w:rFonts w:hint="eastAsia"/>
                <w:color w:val="000000"/>
                <w:szCs w:val="21"/>
              </w:rPr>
              <w:t>是创新点1、2的贡献者，参与研究了钢铁供应链异构物联监管技术、钢铁定制化生产协同调度技术，在项目立项和科研过程中起重要作用。在项目研发工作中投入的工作量占其工作总量的百分比为50%。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4"/>
                <w:szCs w:val="21"/>
              </w:rPr>
            </w:pPr>
            <w:r>
              <w:rPr>
                <w:rFonts w:eastAsia="仿宋"/>
                <w:sz w:val="24"/>
                <w:szCs w:val="21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魏重增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1985.01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高级工程师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color w:val="0D0D0D"/>
              </w:rPr>
              <w:t>福建三钢闽光股份有限公司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魏重增</w:t>
            </w:r>
            <w:r>
              <w:rPr>
                <w:rFonts w:hint="eastAsia"/>
                <w:color w:val="000000"/>
                <w:szCs w:val="21"/>
              </w:rPr>
              <w:t>是创新点2的贡献者，参与研究了钢铁定制化生产协同调度技术，在项目立项和科研过程中起重要作用。在项目研发工作中投入的工作量占其工作总量的百分比为50%。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eastAsia="仿宋"/>
                <w:sz w:val="28"/>
              </w:rPr>
            </w:pPr>
            <w:r>
              <w:rPr>
                <w:rFonts w:hint="eastAsia" w:eastAsia="仿宋"/>
                <w:sz w:val="28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  <w:highlight w:val="yellow"/>
              </w:rPr>
            </w:pPr>
            <w:r>
              <w:rPr>
                <w:rFonts w:hint="eastAsia"/>
                <w:kern w:val="0"/>
                <w:szCs w:val="21"/>
              </w:rPr>
              <w:t>王金龙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男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1995.05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博士研究生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福州大学</w:t>
            </w:r>
          </w:p>
        </w:tc>
        <w:tc>
          <w:tcPr>
            <w:tcW w:w="683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/>
                <w:szCs w:val="21"/>
                <w:highlight w:val="yellow"/>
              </w:rPr>
            </w:pPr>
            <w:r>
              <w:rPr>
                <w:rFonts w:hint="eastAsia"/>
                <w:b/>
                <w:szCs w:val="21"/>
              </w:rPr>
              <w:t>王金龙</w:t>
            </w:r>
            <w:r>
              <w:rPr>
                <w:rFonts w:hint="eastAsia"/>
                <w:color w:val="000000"/>
                <w:szCs w:val="21"/>
              </w:rPr>
              <w:t>是创新点3、4的贡献者，参与研究了钢铁仓储多区域协同优化技术、钢铁混装物流协同调度技术，在项目立项和科研过程中起重要作用。在项目研发工作中投入的工作量占其工作总量的百分比为90%。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7.主要知识产权目录：</w:t>
      </w: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680"/>
        <w:gridCol w:w="2540"/>
        <w:gridCol w:w="2540"/>
        <w:gridCol w:w="2820"/>
        <w:gridCol w:w="3031"/>
        <w:gridCol w:w="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知识产权类别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知识产权具体名称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专利号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权利人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发明人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"https://www.iprdb.com/patent/CN113762896B.html?ds=all&amp;p=1" \t "https://www.iprdb.com/_blank"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一种基于层次分析法的物流园车辆动态排队方法 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ZL202111072860.2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 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"https://www.iprdb.com/s?ds=all&amp;q=ap:"%E7%A6%8F%E5%BB%BA%E4%B8%89%E9%92%A2%E9%97%BD%E5%85%89%E8%82%A1%E4%BB%BD%E6%9C%89%E9%99%90%E5%85%AC%E5%8F%B8""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福建三钢闽光股份有限公司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"https://www.iprdb.com/s?ds=all&amp;q=ap:"%E7%A6%8F%E5%B7%9E%E5%A4%A7%E5%AD%A6""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"https://www.iprdb.com/s?ds=all&amp;q=ap:("%E7%A6%8F%E5%BB%BA%E4%B8%89%E9%92%A2%E9%97%BD%E5%85%89%E8%82%A1%E4%BB%BD%E6%9C%89%E9%99%90%E5%85%AC%E5%8F%B8"+OR+"%E7%A6%8F%E5%B7%9E%E5%A4%A7%E5%AD%A6")+AND+inv:"%E9%BB%8E%E7%AB%8B%E7%92%8B""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黎立璋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"https://www.iprdb.com/s?ds=all&amp;q=ap:("%E7%A6%8F%E5%BB%BA%E4%B8%89%E9%92%A2%E9%97%BD%E5%85%89%E8%82%A1%E4%BB%BD%E6%9C%89%E9%99%90%E5%85%AC%E5%8F%B8"+OR+"%E7%A6%8F%E5%B7%9E%E5%A4%A7%E5%AD%A6")+AND+inv:"%E9%99%88%E4%BC%AF%E7%91%9C""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陈伯瑜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"https://www.iprdb.com/s?ds=all&amp;q=ap:("%E7%A6%8F%E5%BB%BA%E4%B8%89%E9%92%A2%E9%97%BD%E5%85%89%E8%82%A1%E4%BB%BD%E6%9C%89%E9%99%90%E5%85%AC%E5%8F%B8"+OR+"%E7%A6%8F%E5%B7%9E%E5%A4%A7%E5%AD%A6")+AND+inv:"%E5%BC%A0%E5%BA%86%E4%B8%9C""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张庆东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"https://www.iprdb.com/s?ds=all&amp;q=ap:("%E7%A6%8F%E5%BB%BA%E4%B8%89%E9%92%A2%E9%97%BD%E5%85%89%E8%82%A1%E4%BB%BD%E6%9C%89%E9%99%90%E5%85%AC%E5%8F%B8"+OR+"%E7%A6%8F%E5%B7%9E%E5%A4%A7%E5%AD%A6")+AND+inv:"%E5%BE%90%E5%93%B2%E5%A3%AE""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徐哲壮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"https://www.iprdb.com/s?ds=all&amp;q=ap:("%E7%A6%8F%E5%BB%BA%E4%B8%89%E9%92%A2%E9%97%BD%E5%85%89%E8%82%A1%E4%BB%BD%E6%9C%89%E9%99%90%E5%85%AC%E5%8F%B8"+OR+"%E7%A6%8F%E5%B7%9E%E5%A4%A7%E5%AD%A6")+AND+inv:"%E6%B8%A9%E8%94%9A%E7%BF%94""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温蔚翔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"https://www.iprdb.com/s?ds=all&amp;q=ap:("%E7%A6%8F%E5%BB%BA%E4%B8%89%E9%92%A2%E9%97%BD%E5%85%89%E8%82%A1%E4%BB%BD%E6%9C%89%E9%99%90%E5%85%AC%E5%8F%B8"+OR+"%E7%A6%8F%E5%B7%9E%E5%A4%A7%E5%AD%A6")+AND+inv:"%E9%99%88%E5%BA%B7""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陈康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"https://www.iprdb.com/s?ds=all&amp;q=ap:("%E7%A6%8F%E5%BB%BA%E4%B8%89%E9%92%A2%E9%97%BD%E5%85%89%E8%82%A1%E4%BB%BD%E6%9C%89%E9%99%90%E5%85%AC%E5%8F%B8"+OR+"%E7%A6%8F%E5%B7%9E%E5%A4%A7%E5%AD%A6")+AND+inv:"%E9%83%AD%E5%87%8C%E6%AC%A2""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郭凌欢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"https://www.iprdb.com/s?ds=all&amp;q=ap:("%E7%A6%8F%E5%BB%BA%E4%B8%89%E9%92%A2%E9%97%BD%E5%85%89%E8%82%A1%E4%BB%BD%E6%9C%89%E9%99%90%E5%85%AC%E5%8F%B8"+OR+"%E7%A6%8F%E5%B7%9E%E5%A4%A7%E5%AD%A6")+AND+inv:"%E8%94%A1%E4%B8%9C%E6%B4%B2""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蔡东洲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一种基于订单信息的货车钢板钢卷混装方法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ZL202111072863.6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福建三钢闽光股份有限公司,福州大学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黎立璋,陈伯瑜,张庆东,徐哲壮,王金龙,陈剑,郭凌欢,蔡东洲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基于轧线信息共享分析系统优化中板生产组织方法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ZL201910171285.8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福建三钢闽光股份有限公司,福建省三钢(集团)有限责任公司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魏重增,周晗,陈玉叶,郑芳垣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一种基于能量消耗和调度时间的钢材垛位分配方法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ZL202111179927.2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徐哲壮,林烨,黎立璋,陈伯瑜,张庆东,陈剑,郭凌欢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一种考虑迟到的物流园进场车辆动态调度方法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ZL202111174514.5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徐哲壮,温蔚翔 ,黎立璋,陈伯瑜,张庆东,陈康,郭凌欢,陈剑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一种面向钢铁产业的紧急订单物流调度方法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ZL202111178746.8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徐哲壮,王金龙,黎立璋,陈伯瑜,张庆东,郭凌欢,陈剑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一种软件定义工业异构时间敏感网络系统及资源调度方法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ZL202011496917.7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许齐敏,张雅静,陈彩莲,关新平,李明妍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一种面向工业异构网络管理的微服务系统架构和管理方法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ZL202210041225.6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朱善迎,付瑛博,许齐敏,陈彩莲,关新平,徐磊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发明专利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一种知识推理引擎系统及实现方法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ZL202110678308.1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陈彩莲,王守亮,许齐敏,徐磊,关新平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714" w:type="dxa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68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软著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供应链物联网监管平台</w:t>
            </w:r>
          </w:p>
        </w:tc>
        <w:tc>
          <w:tcPr>
            <w:tcW w:w="25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软著登字第11112606号</w:t>
            </w:r>
          </w:p>
        </w:tc>
        <w:tc>
          <w:tcPr>
            <w:tcW w:w="28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福建闽光云商有限公司</w:t>
            </w:r>
          </w:p>
        </w:tc>
        <w:tc>
          <w:tcPr>
            <w:tcW w:w="303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/</w:t>
            </w:r>
          </w:p>
        </w:tc>
        <w:tc>
          <w:tcPr>
            <w:tcW w:w="741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</w:p>
    <w:p>
      <w:pPr>
        <w:pStyle w:val="2"/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>8.代表性论文专著目录：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514"/>
        <w:gridCol w:w="2828"/>
        <w:gridCol w:w="1739"/>
        <w:gridCol w:w="1490"/>
        <w:gridCol w:w="2346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刊名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论文/专著名称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卷年页码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发表时间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作者：排序/姓名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</w:rPr>
              <w:t>备注（第一单位）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IEEE Transactions on Industrial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Informatics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Optimization for Storage Scheduling of Steel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Plates Based on Cloud Manufacturing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Platform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19,2023,11653</w:t>
            </w:r>
            <w:r>
              <w:rPr>
                <w:rFonts w:ascii="宋体" w:hAnsi="宋体" w:cs="宋体"/>
                <w:kern w:val="0"/>
                <w:szCs w:val="21"/>
              </w:rPr>
              <w:t>-11663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2023-02-23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Jinlong Wang;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Zhezhuang Xu;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Weixiang Wen;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 Rong Wang;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Ye Lin;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Yazhou Yuan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Boyu Chen; Qingdong Zhang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IEEE Transactions on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Industrial Informatics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Efficient Flow Scheduling for Industrial Time-Sensitive Networking: A Divisibility Theory Based Method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kern w:val="0"/>
                <w:szCs w:val="21"/>
              </w:rPr>
              <w:t>,202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,9312</w:t>
            </w:r>
            <w:r>
              <w:rPr>
                <w:rFonts w:hint="default" w:ascii="宋体" w:hAnsi="宋体" w:cs="宋体"/>
                <w:kern w:val="0"/>
                <w:szCs w:val="21"/>
              </w:rPr>
              <w:t> - 9323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2022-0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-1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"https://ieeexplore.ieee.org/author/37088571015"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Yanzhou Zhang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"https://orcid.org/0000-0003-1610-4544" \t "https://ieeexplore.ieee.org/document/_blank"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t>;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"https://ieeexplore.ieee.org/author/37085853837"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Qimin Xu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"https://orcid.org/0000-0001-9678-6295" \t "https://ieeexplore.ieee.org/document/_blank"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t>;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"https://ieeexplore.ieee.org/author/37088571239"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Lei Xu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"https://orcid.org/0000-0002-4894-804X" \t "https://ieeexplore.ieee.org/document/_blank"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t>;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"https://ieeexplore.ieee.org/author/38185843900"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Cailian Chen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"https://orcid.org/0000-0001-6533-8713" \t "https://ieeexplore.ieee.org/document/_blank"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t>;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"https://ieeexplore.ieee.org/author/37085438188"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Xinping Guan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99"/>
                <w:spacing w:val="0"/>
                <w:sz w:val="27"/>
                <w:szCs w:val="27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99"/>
                <w:spacing w:val="0"/>
                <w:sz w:val="27"/>
                <w:szCs w:val="27"/>
                <w:u w:val="single"/>
                <w:shd w:val="clear" w:fill="FFFFFF"/>
              </w:rPr>
              <w:instrText xml:space="preserve"> HYPERLINK "https://orcid.org/0000-0003-1858-8538" \t "https://ieeexplore.ieee.org/document/_blank" </w:instrText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99"/>
                <w:spacing w:val="0"/>
                <w:sz w:val="27"/>
                <w:szCs w:val="27"/>
                <w:u w:val="single"/>
                <w:shd w:val="clear" w:fill="FFFFFF"/>
              </w:rPr>
              <w:fldChar w:fldCharType="separate"/>
            </w:r>
            <w:r>
              <w:rPr>
                <w:rFonts w:hint="default" w:ascii="sans-serif" w:hAnsi="sans-serif" w:eastAsia="sans-serif" w:cs="sans-serif"/>
                <w:i w:val="0"/>
                <w:iCs w:val="0"/>
                <w:caps w:val="0"/>
                <w:color w:val="006699"/>
                <w:spacing w:val="0"/>
                <w:sz w:val="27"/>
                <w:szCs w:val="27"/>
                <w:u w:val="single"/>
                <w:shd w:val="clear" w:fill="FFFFFF"/>
              </w:rPr>
              <w:fldChar w:fldCharType="end"/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Science China Information Sciences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Wireless/Wired Integrated Transmission for Industrial Cyber-physical Systems: Risk-sensitive Co-design of 5G and TSN Protocols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Cs w:val="21"/>
              </w:rPr>
              <w:t>,202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</w:rPr>
              <w:t>,110204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kern w:val="0"/>
                <w:szCs w:val="21"/>
              </w:rPr>
              <w:t>-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</w:rPr>
            </w:pP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"https://link.springer.com/article/10.1007/s11432-020-3344-8" \l "auth-Yajing-Zhang-Aff1-Aff2-Aff3"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Yajing Zhang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"https://link.springer.com/article/10.1007/s11432-020-3344-8" \l "auth-Qimin-Xu-Aff1-Aff2-Aff3"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Qimin Xu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"https://link.springer.com/article/10.1007/s11432-020-3344-8" \l "auth-Xinping-Guan-Aff1-Aff2-Aff3"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Xinping Guan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"https://link.springer.com/article/10.1007/s11432-020-3344-8" \l "auth-Cailian-Chen-Aff1-Aff2-Aff3"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Cailian Chen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default" w:ascii="宋体" w:hAnsi="宋体" w:cs="宋体"/>
                <w:kern w:val="0"/>
                <w:szCs w:val="21"/>
              </w:rPr>
              <w:instrText xml:space="preserve"> HYPERLINK "https://link.springer.com/article/10.1007/s11432-020-3344-8" \l "auth-Mingyan-Li-Aff1-Aff2-Aff3-Aff4" </w:instrTex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default" w:ascii="宋体" w:hAnsi="宋体" w:cs="宋体"/>
                <w:kern w:val="0"/>
                <w:szCs w:val="21"/>
              </w:rPr>
              <w:t>Mingyan Li</w:t>
            </w:r>
            <w:r>
              <w:rPr>
                <w:rFonts w:hint="default" w:ascii="宋体" w:hAnsi="宋体" w:cs="宋体"/>
                <w:kern w:val="0"/>
                <w:szCs w:val="21"/>
              </w:rPr>
              <w:fldChar w:fldCharType="end"/>
            </w:r>
            <w:r>
              <w:rPr>
                <w:rFonts w:hint="default" w:ascii="宋体" w:hAnsi="宋体" w:cs="宋体"/>
                <w:kern w:val="0"/>
                <w:szCs w:val="21"/>
              </w:rPr>
              <w:t>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IEEE International Conference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on Industrial Technology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Optimization of Stacking Location for Mixed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Loading of Steel Products</w:t>
            </w:r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2022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2023-01-05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Rong Wang; 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Song Zheng; Jinlong Wang; Zhezhuang Xu; Weixiang Wen;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Boyu Chen; Qingdong Zhang</w:t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福州大学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365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时代金融</w:t>
            </w:r>
          </w:p>
        </w:tc>
        <w:tc>
          <w:tcPr>
            <w:tcW w:w="99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bookmarkStart w:id="1" w:name="OLE_LINK1"/>
            <w:r>
              <w:rPr>
                <w:rFonts w:hint="eastAsia" w:ascii="宋体" w:hAnsi="宋体" w:cs="宋体"/>
                <w:kern w:val="0"/>
                <w:szCs w:val="21"/>
              </w:rPr>
              <w:t>基于供应链的钢铁企业上下游价值探索</w:t>
            </w:r>
            <w:bookmarkEnd w:id="1"/>
          </w:p>
        </w:tc>
        <w:tc>
          <w:tcPr>
            <w:tcW w:w="613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6,2017,267-268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2017-02-28</w:t>
            </w:r>
          </w:p>
        </w:tc>
        <w:tc>
          <w:tcPr>
            <w:tcW w:w="827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fldChar w:fldCharType="begin"/>
            </w:r>
            <w:r>
              <w:rPr>
                <w:rFonts w:hint="eastAsia" w:ascii="宋体" w:hAnsi="宋体" w:cs="宋体"/>
                <w:kern w:val="0"/>
                <w:szCs w:val="21"/>
              </w:rPr>
              <w:instrText xml:space="preserve"> HYPERLINK "https://kns.cnki.net/kcms2/author/detail?v=dMo7FjsfBlHA2fzz5WOuq2sU0ioYHbx55dPYZj2AcL7hm_nMqd_UI9wyw4P-7cn7h24BQzKbz-gnrSOlrZ-Nsziz2YcUJ_KbzPwCq_5KNgnC7YEXkjso5Sc075PIVurc&amp;uniplatform=NZKPT&amp;language=CHS" \t "https://kns.cnki.net/kcms2/article/_blank" </w:instrTex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separate"/>
            </w:r>
            <w:r>
              <w:rPr>
                <w:rFonts w:hint="eastAsia" w:ascii="宋体" w:hAnsi="宋体" w:cs="宋体"/>
                <w:kern w:val="0"/>
                <w:szCs w:val="21"/>
              </w:rPr>
              <w:t>郭凌欢</w:t>
            </w:r>
            <w:r>
              <w:rPr>
                <w:rFonts w:hint="eastAsia" w:ascii="宋体" w:hAnsi="宋体" w:cs="宋体"/>
                <w:kern w:val="0"/>
                <w:szCs w:val="21"/>
              </w:rPr>
              <w:fldChar w:fldCharType="end"/>
            </w:r>
          </w:p>
        </w:tc>
        <w:tc>
          <w:tcPr>
            <w:tcW w:w="783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福建三钢闽光股份有限公司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FF0000"/>
          <w:sz w:val="28"/>
          <w:szCs w:val="28"/>
        </w:rPr>
      </w:pPr>
    </w:p>
    <w:sectPr>
      <w:pgSz w:w="16838" w:h="11906" w:orient="landscape"/>
      <w:pgMar w:top="1531" w:right="1440" w:bottom="153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FKai-SB">
    <w:altName w:val="Microsoft JhengHei"/>
    <w:panose1 w:val="03000509000000000000"/>
    <w:charset w:val="00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BEFF99"/>
    <w:multiLevelType w:val="singleLevel"/>
    <w:tmpl w:val="5FBEFF99"/>
    <w:lvl w:ilvl="0" w:tentative="0">
      <w:start w:val="1"/>
      <w:numFmt w:val="decimal"/>
      <w:suff w:val="nothing"/>
      <w:lvlText w:val="%1."/>
      <w:lvlJc w:val="left"/>
      <w:rPr>
        <w:rFonts w:hint="eastAsia" w:ascii="仿宋_GB2312" w:eastAsia="仿宋_GB2312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MTVlZjU3ZmM2ZTE5M2M2MWNiMDQyOTdkNWQyYWQifQ=="/>
  </w:docVars>
  <w:rsids>
    <w:rsidRoot w:val="00E8268A"/>
    <w:rsid w:val="00057620"/>
    <w:rsid w:val="000E78A6"/>
    <w:rsid w:val="00145239"/>
    <w:rsid w:val="00286010"/>
    <w:rsid w:val="002B191D"/>
    <w:rsid w:val="002E0BFC"/>
    <w:rsid w:val="004327AC"/>
    <w:rsid w:val="00521E74"/>
    <w:rsid w:val="00561913"/>
    <w:rsid w:val="005A48E0"/>
    <w:rsid w:val="00613A11"/>
    <w:rsid w:val="00651D46"/>
    <w:rsid w:val="0074152A"/>
    <w:rsid w:val="00826C08"/>
    <w:rsid w:val="008649F4"/>
    <w:rsid w:val="00953E62"/>
    <w:rsid w:val="009A6A01"/>
    <w:rsid w:val="00A6617F"/>
    <w:rsid w:val="00B11015"/>
    <w:rsid w:val="00B150EE"/>
    <w:rsid w:val="00B26D51"/>
    <w:rsid w:val="00B43302"/>
    <w:rsid w:val="00BC4B35"/>
    <w:rsid w:val="00C046ED"/>
    <w:rsid w:val="00C5788F"/>
    <w:rsid w:val="00CB29D8"/>
    <w:rsid w:val="00D44CF2"/>
    <w:rsid w:val="00DB30F0"/>
    <w:rsid w:val="00DF4A96"/>
    <w:rsid w:val="00E04118"/>
    <w:rsid w:val="00E1402F"/>
    <w:rsid w:val="00E8268A"/>
    <w:rsid w:val="00E82D8E"/>
    <w:rsid w:val="00E841BD"/>
    <w:rsid w:val="00F16FF3"/>
    <w:rsid w:val="00FB38FA"/>
    <w:rsid w:val="01353326"/>
    <w:rsid w:val="01ED7694"/>
    <w:rsid w:val="087301A8"/>
    <w:rsid w:val="0CAD5BD8"/>
    <w:rsid w:val="0CE25FEA"/>
    <w:rsid w:val="0DFA35B9"/>
    <w:rsid w:val="0DFFC512"/>
    <w:rsid w:val="0E690251"/>
    <w:rsid w:val="0F4008E0"/>
    <w:rsid w:val="0FA5C748"/>
    <w:rsid w:val="105C6E7E"/>
    <w:rsid w:val="119140A6"/>
    <w:rsid w:val="122D39E8"/>
    <w:rsid w:val="12546A46"/>
    <w:rsid w:val="178A1437"/>
    <w:rsid w:val="18E7726B"/>
    <w:rsid w:val="19B4EFEA"/>
    <w:rsid w:val="1D684C2C"/>
    <w:rsid w:val="1ECC0E79"/>
    <w:rsid w:val="1FDF3D04"/>
    <w:rsid w:val="227B094B"/>
    <w:rsid w:val="22EC5952"/>
    <w:rsid w:val="23BF75D4"/>
    <w:rsid w:val="26C61434"/>
    <w:rsid w:val="27FFDB3C"/>
    <w:rsid w:val="28587F45"/>
    <w:rsid w:val="28F00BDD"/>
    <w:rsid w:val="2AA82050"/>
    <w:rsid w:val="2CCF46E0"/>
    <w:rsid w:val="2D666F08"/>
    <w:rsid w:val="2ECFD048"/>
    <w:rsid w:val="2FD7C272"/>
    <w:rsid w:val="2FF1B6AA"/>
    <w:rsid w:val="366A57CF"/>
    <w:rsid w:val="367A4492"/>
    <w:rsid w:val="373B1EE8"/>
    <w:rsid w:val="377E6FC7"/>
    <w:rsid w:val="3CFD7FF6"/>
    <w:rsid w:val="3D237BE1"/>
    <w:rsid w:val="3D4F5C8D"/>
    <w:rsid w:val="3DD53D74"/>
    <w:rsid w:val="3E77C343"/>
    <w:rsid w:val="3EA82B1F"/>
    <w:rsid w:val="3F3275D4"/>
    <w:rsid w:val="3FFFAA8E"/>
    <w:rsid w:val="40270EE3"/>
    <w:rsid w:val="423B5529"/>
    <w:rsid w:val="457D5BD4"/>
    <w:rsid w:val="475E5FC3"/>
    <w:rsid w:val="47762A53"/>
    <w:rsid w:val="47C125EA"/>
    <w:rsid w:val="47DB1F37"/>
    <w:rsid w:val="47F6139A"/>
    <w:rsid w:val="4D875F5D"/>
    <w:rsid w:val="4E386EB3"/>
    <w:rsid w:val="4E98EDDB"/>
    <w:rsid w:val="4EC2357B"/>
    <w:rsid w:val="4FFF1ECF"/>
    <w:rsid w:val="515845F1"/>
    <w:rsid w:val="51F7FF9C"/>
    <w:rsid w:val="52ED7781"/>
    <w:rsid w:val="554C731E"/>
    <w:rsid w:val="55EF58DF"/>
    <w:rsid w:val="56C67DF2"/>
    <w:rsid w:val="570B7A8A"/>
    <w:rsid w:val="5856555F"/>
    <w:rsid w:val="58C523D6"/>
    <w:rsid w:val="59177E55"/>
    <w:rsid w:val="5BAF69BF"/>
    <w:rsid w:val="5BAFD007"/>
    <w:rsid w:val="5BEFDE6F"/>
    <w:rsid w:val="5BFF24C2"/>
    <w:rsid w:val="5C546DAF"/>
    <w:rsid w:val="5CA27395"/>
    <w:rsid w:val="5E7B2339"/>
    <w:rsid w:val="5F73DBE5"/>
    <w:rsid w:val="5FBD6EA0"/>
    <w:rsid w:val="5FDE12D6"/>
    <w:rsid w:val="5FF98BF0"/>
    <w:rsid w:val="61806DD8"/>
    <w:rsid w:val="631A287D"/>
    <w:rsid w:val="644A5221"/>
    <w:rsid w:val="64D05500"/>
    <w:rsid w:val="65252288"/>
    <w:rsid w:val="65E1BED2"/>
    <w:rsid w:val="666620C9"/>
    <w:rsid w:val="66F7B869"/>
    <w:rsid w:val="67296F93"/>
    <w:rsid w:val="67F113F9"/>
    <w:rsid w:val="6AD001EB"/>
    <w:rsid w:val="6B9950D1"/>
    <w:rsid w:val="6BB5A5BE"/>
    <w:rsid w:val="6D4E4B1C"/>
    <w:rsid w:val="6DF53A25"/>
    <w:rsid w:val="6EFFAE43"/>
    <w:rsid w:val="6F7A1356"/>
    <w:rsid w:val="6F7EF841"/>
    <w:rsid w:val="71F751BD"/>
    <w:rsid w:val="72834C3B"/>
    <w:rsid w:val="74150344"/>
    <w:rsid w:val="7427FEDB"/>
    <w:rsid w:val="74FB0DBB"/>
    <w:rsid w:val="75675828"/>
    <w:rsid w:val="766158F5"/>
    <w:rsid w:val="779BAA7C"/>
    <w:rsid w:val="77EF9B71"/>
    <w:rsid w:val="7AB15ECF"/>
    <w:rsid w:val="7BEF1324"/>
    <w:rsid w:val="7CBA2EE7"/>
    <w:rsid w:val="7CF941E4"/>
    <w:rsid w:val="7DDEA2B6"/>
    <w:rsid w:val="7DF3E72B"/>
    <w:rsid w:val="7E1CFA4F"/>
    <w:rsid w:val="7E7F11BF"/>
    <w:rsid w:val="7F0D62D8"/>
    <w:rsid w:val="7F5D27BF"/>
    <w:rsid w:val="7F7D063F"/>
    <w:rsid w:val="7F7FBD4E"/>
    <w:rsid w:val="7FE57C5B"/>
    <w:rsid w:val="7FE814C2"/>
    <w:rsid w:val="7FEC1B68"/>
    <w:rsid w:val="7FED7E86"/>
    <w:rsid w:val="7FEF5533"/>
    <w:rsid w:val="7FFF132D"/>
    <w:rsid w:val="9FF261E3"/>
    <w:rsid w:val="A37B64D1"/>
    <w:rsid w:val="AFFF1036"/>
    <w:rsid w:val="B0FF0AF3"/>
    <w:rsid w:val="BAEB1801"/>
    <w:rsid w:val="BC3901AA"/>
    <w:rsid w:val="BFBFAD73"/>
    <w:rsid w:val="BFE6E07C"/>
    <w:rsid w:val="BFF713D3"/>
    <w:rsid w:val="D0BC8F88"/>
    <w:rsid w:val="D37F5E11"/>
    <w:rsid w:val="DB5FBB05"/>
    <w:rsid w:val="DBBD2366"/>
    <w:rsid w:val="DEEB7153"/>
    <w:rsid w:val="DFE651AC"/>
    <w:rsid w:val="DFFE580B"/>
    <w:rsid w:val="EA7675D9"/>
    <w:rsid w:val="EBF203DC"/>
    <w:rsid w:val="F69E2856"/>
    <w:rsid w:val="F77A5A86"/>
    <w:rsid w:val="F77E019F"/>
    <w:rsid w:val="F78F1353"/>
    <w:rsid w:val="F7DFA45D"/>
    <w:rsid w:val="F7F3A5C8"/>
    <w:rsid w:val="F7F94813"/>
    <w:rsid w:val="F7FDA781"/>
    <w:rsid w:val="F9BB75D0"/>
    <w:rsid w:val="F9D72B76"/>
    <w:rsid w:val="FADF2405"/>
    <w:rsid w:val="FBFBF095"/>
    <w:rsid w:val="FDBE145C"/>
    <w:rsid w:val="FE5B22E9"/>
    <w:rsid w:val="FEDF27EC"/>
    <w:rsid w:val="FEE34138"/>
    <w:rsid w:val="FEFA3668"/>
    <w:rsid w:val="FEFDFF83"/>
    <w:rsid w:val="FF2D6546"/>
    <w:rsid w:val="FF5E1330"/>
    <w:rsid w:val="FFBED067"/>
    <w:rsid w:val="FFDBC0ED"/>
    <w:rsid w:val="FFE232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widowControl/>
    </w:pPr>
    <w:rPr>
      <w:kern w:val="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paragraph" w:styleId="11">
    <w:name w:val="Body Text First Indent 2"/>
    <w:basedOn w:val="6"/>
    <w:qFormat/>
    <w:uiPriority w:val="0"/>
    <w:pPr>
      <w:ind w:firstLine="420" w:firstLineChars="200"/>
    </w:p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page number"/>
    <w:qFormat/>
    <w:uiPriority w:val="0"/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NormalCharacter"/>
    <w:semiHidden/>
    <w:qFormat/>
    <w:uiPriority w:val="0"/>
  </w:style>
  <w:style w:type="character" w:customStyle="1" w:styleId="19">
    <w:name w:val="maintitle"/>
    <w:qFormat/>
    <w:uiPriority w:val="0"/>
  </w:style>
  <w:style w:type="character" w:customStyle="1" w:styleId="20">
    <w:name w:val="fontstyle01"/>
    <w:qFormat/>
    <w:uiPriority w:val="0"/>
    <w:rPr>
      <w:rFonts w:hint="default" w:ascii="仿宋" w:hAnsi="仿宋"/>
      <w:color w:val="000000"/>
      <w:sz w:val="24"/>
      <w:szCs w:val="24"/>
    </w:rPr>
  </w:style>
  <w:style w:type="character" w:customStyle="1" w:styleId="21">
    <w:name w:val="樣式 內文2 + 標楷體 字元 字元"/>
    <w:qFormat/>
    <w:uiPriority w:val="0"/>
    <w:rPr>
      <w:rFonts w:ascii="DFKai-SB" w:hAnsi="DFKai-SB" w:eastAsia="DFKai-SB"/>
      <w:kern w:val="2"/>
      <w:sz w:val="28"/>
      <w:lang w:val="en-US" w:eastAsia="zh-TW" w:bidi="ar-SA"/>
    </w:rPr>
  </w:style>
  <w:style w:type="character" w:customStyle="1" w:styleId="22">
    <w:name w:val="edited high-light-bg ordinary-span-edit"/>
    <w:qFormat/>
    <w:uiPriority w:val="0"/>
  </w:style>
  <w:style w:type="paragraph" w:customStyle="1" w:styleId="23">
    <w:name w:val="正文 New"/>
    <w:qFormat/>
    <w:uiPriority w:val="0"/>
    <w:pPr>
      <w:widowControl w:val="0"/>
      <w:spacing w:line="400" w:lineRule="exact"/>
      <w:ind w:left="11" w:right="11"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4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List Paragraph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彩色列表 - 强调文字颜色 11"/>
    <w:basedOn w:val="1"/>
    <w:qFormat/>
    <w:uiPriority w:val="34"/>
    <w:pPr>
      <w:ind w:firstLine="420" w:firstLineChars="200"/>
    </w:pPr>
    <w:rPr>
      <w:rFonts w:ascii="等线" w:hAnsi="等线" w:eastAsia="等线" w:cs="Times New Roman"/>
      <w:sz w:val="24"/>
    </w:rPr>
  </w:style>
  <w:style w:type="paragraph" w:customStyle="1" w:styleId="28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rFonts w:ascii="宋体" w:cs="宋体"/>
      <w:kern w:val="0"/>
      <w:sz w:val="24"/>
    </w:rPr>
  </w:style>
  <w:style w:type="paragraph" w:customStyle="1" w:styleId="29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fjedu</Company>
  <Pages>6</Pages>
  <Words>2856</Words>
  <Characters>3800</Characters>
  <Lines>47</Lines>
  <Paragraphs>13</Paragraphs>
  <TotalTime>35</TotalTime>
  <ScaleCrop>false</ScaleCrop>
  <LinksUpToDate>false</LinksUpToDate>
  <CharactersWithSpaces>3896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2024-07-14T13:16:00Z</dcterms:created>
  <dc:creator>子不语</dc:creator>
  <cp:lastModifiedBy>徐哲壮</cp:lastModifiedBy>
  <cp:lastPrinted>2022-12-05T10:54:00Z</cp:lastPrinted>
  <dcterms:modified xsi:type="dcterms:W3CDTF">2025-04-16T00:52:53Z</dcterms:modified>
  <dc:title>一、项目名称：多重环境压力下海洋酸化的生理生态影响及其食物链效应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0AF4E071FB2E47C089C9E38D2BA06A00_13</vt:lpwstr>
  </property>
</Properties>
</file>